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DF1" w:rsidRPr="00BD6DF1" w:rsidRDefault="00BD6DF1" w:rsidP="00BD6DF1">
      <w:pPr>
        <w:jc w:val="right"/>
        <w:rPr>
          <w:rFonts w:ascii="Times New Roman" w:hAnsi="Times New Roman" w:cs="Times New Roman"/>
          <w:sz w:val="28"/>
          <w:szCs w:val="28"/>
          <w:lang w:val="en-US"/>
        </w:rPr>
      </w:pPr>
      <w:bookmarkStart w:id="0" w:name="_GoBack"/>
      <w:bookmarkEnd w:id="0"/>
      <w:r>
        <w:rPr>
          <w:rFonts w:ascii="Times New Roman" w:hAnsi="Times New Roman" w:cs="Times New Roman"/>
          <w:sz w:val="28"/>
          <w:szCs w:val="28"/>
          <w:lang w:val="en-US"/>
        </w:rPr>
        <w:t>Anexa 4</w:t>
      </w:r>
    </w:p>
    <w:p w:rsidR="007370C8" w:rsidRPr="002826D7" w:rsidRDefault="002826D7" w:rsidP="002826D7">
      <w:pPr>
        <w:jc w:val="center"/>
        <w:rPr>
          <w:rFonts w:ascii="Times New Roman" w:hAnsi="Times New Roman" w:cs="Times New Roman"/>
          <w:b/>
          <w:i/>
          <w:sz w:val="28"/>
          <w:szCs w:val="28"/>
          <w:u w:val="single"/>
          <w:lang w:val="en-US"/>
        </w:rPr>
      </w:pPr>
      <w:r w:rsidRPr="002826D7">
        <w:rPr>
          <w:rFonts w:ascii="Times New Roman" w:hAnsi="Times New Roman" w:cs="Times New Roman"/>
          <w:b/>
          <w:i/>
          <w:sz w:val="28"/>
          <w:szCs w:val="28"/>
          <w:u w:val="single"/>
          <w:lang w:val="en-US"/>
        </w:rPr>
        <w:t>Instrucțiuni pentru prelevarea probelor</w:t>
      </w:r>
    </w:p>
    <w:p w:rsidR="00114378" w:rsidRDefault="00114378" w:rsidP="002826D7">
      <w:pPr>
        <w:autoSpaceDE w:val="0"/>
        <w:autoSpaceDN w:val="0"/>
        <w:adjustRightInd w:val="0"/>
        <w:spacing w:after="0" w:line="240" w:lineRule="auto"/>
        <w:rPr>
          <w:rFonts w:ascii="Times New Roman" w:hAnsi="Times New Roman" w:cs="Times New Roman"/>
          <w:sz w:val="24"/>
          <w:szCs w:val="24"/>
          <w:lang w:val="en-US"/>
        </w:rPr>
      </w:pPr>
    </w:p>
    <w:p w:rsidR="002826D7" w:rsidRPr="00A9099C" w:rsidRDefault="002826D7" w:rsidP="002826D7">
      <w:pPr>
        <w:autoSpaceDE w:val="0"/>
        <w:autoSpaceDN w:val="0"/>
        <w:adjustRightInd w:val="0"/>
        <w:spacing w:after="0" w:line="240" w:lineRule="auto"/>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Monitorizarea, procedurile de recoltare a probelor și testarea</w:t>
      </w:r>
    </w:p>
    <w:p w:rsidR="00114378" w:rsidRDefault="00114378" w:rsidP="002826D7">
      <w:pPr>
        <w:autoSpaceDE w:val="0"/>
        <w:autoSpaceDN w:val="0"/>
        <w:adjustRightInd w:val="0"/>
        <w:spacing w:after="0" w:line="240" w:lineRule="auto"/>
        <w:jc w:val="both"/>
        <w:rPr>
          <w:rFonts w:ascii="Times New Roman" w:hAnsi="Times New Roman" w:cs="Times New Roman"/>
          <w:sz w:val="24"/>
          <w:szCs w:val="24"/>
          <w:lang w:val="en-US"/>
        </w:rPr>
      </w:pPr>
    </w:p>
    <w:p w:rsidR="002826D7"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Monitorizarea gradului de infectare cu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a efectivului de păsări.</w:t>
      </w:r>
    </w:p>
    <w:p w:rsidR="00114378" w:rsidRPr="00A9099C" w:rsidRDefault="00114378" w:rsidP="002826D7">
      <w:pPr>
        <w:autoSpaceDE w:val="0"/>
        <w:autoSpaceDN w:val="0"/>
        <w:adjustRightInd w:val="0"/>
        <w:spacing w:after="0" w:line="240" w:lineRule="auto"/>
        <w:jc w:val="both"/>
        <w:rPr>
          <w:rFonts w:ascii="Times New Roman" w:hAnsi="Times New Roman" w:cs="Times New Roman"/>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Cunoașterea acestui grad de infectare cu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presupune o verificare a eficienţei măsurilor</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de biosecuritate și ajută la luarea deciziilor privind dezinfecţia în procesul de depopulare și va asista la luarea deciziilor privind organizarea procesului de tăiere. Planificarea timpului pentru tăiere la efectivele de păsări infectate cu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 xml:space="preserve">va reduce contaminarea încrucișată din cadrul abatorului și nivelul de carne de pasăre contaminată cu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care intră în lanţul alimentar.</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Regulamentul UE prevede utilizarea a două perechi de huse pentru cizme per efectiv de păsări cu trei săptămâni înainte de tăiere pentru a testa </w:t>
      </w:r>
      <w:r w:rsidRPr="00A9099C">
        <w:rPr>
          <w:rFonts w:ascii="Times New Roman" w:hAnsi="Times New Roman" w:cs="Times New Roman"/>
          <w:i/>
          <w:iCs/>
          <w:sz w:val="24"/>
          <w:szCs w:val="24"/>
          <w:lang w:val="en-US"/>
        </w:rPr>
        <w:t>Salmonella</w:t>
      </w:r>
      <w:r w:rsidRPr="00A9099C">
        <w:rPr>
          <w:rFonts w:ascii="Times New Roman" w:hAnsi="Times New Roman" w:cs="Times New Roman"/>
          <w:sz w:val="24"/>
          <w:szCs w:val="24"/>
          <w:lang w:val="en-US"/>
        </w:rPr>
        <w:t xml:space="preserve">. Este recomandat să se pună în aplicare  </w:t>
      </w:r>
      <w:r>
        <w:rPr>
          <w:rFonts w:ascii="Times New Roman" w:hAnsi="Times New Roman" w:cs="Times New Roman"/>
          <w:sz w:val="24"/>
          <w:szCs w:val="24"/>
          <w:lang w:val="en-US"/>
        </w:rPr>
        <w:t>r</w:t>
      </w:r>
      <w:r w:rsidRPr="00A9099C">
        <w:rPr>
          <w:rFonts w:ascii="Times New Roman" w:hAnsi="Times New Roman" w:cs="Times New Roman"/>
          <w:sz w:val="24"/>
          <w:szCs w:val="24"/>
          <w:lang w:val="en-US"/>
        </w:rPr>
        <w:t xml:space="preserve">egimurile de monitorizare și pentru </w:t>
      </w:r>
      <w:r w:rsidRPr="00A9099C">
        <w:rPr>
          <w:rFonts w:ascii="Times New Roman" w:hAnsi="Times New Roman" w:cs="Times New Roman"/>
          <w:i/>
          <w:iCs/>
          <w:sz w:val="24"/>
          <w:szCs w:val="24"/>
          <w:lang w:val="en-US"/>
        </w:rPr>
        <w:t>Campylobacter</w:t>
      </w:r>
      <w:r w:rsidRPr="00A9099C">
        <w:rPr>
          <w:rFonts w:ascii="Times New Roman" w:hAnsi="Times New Roman" w:cs="Times New Roman"/>
          <w:sz w:val="24"/>
          <w:szCs w:val="24"/>
          <w:lang w:val="en-US"/>
        </w:rPr>
        <w:t>, pentru identifi carea practicilor</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asociate cu efectivele de păsări depistate negativ.</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Rezultatele pozitive trebuie discutate cu medicul veterinar care răspunde de acel efectiv de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păsări. Procedurile trebuie revizuite și trebuie să se ia măsuri adecvate în cazul adăposturilor contaminate.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Detaliile regimului de monitorizare care vor fi utilizate trebuie discutate cu operatorul abatorului,</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care este cel mai interesat să reducă nivelul de contaminare cu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 xml:space="preserve">și </w:t>
      </w:r>
      <w:r w:rsidRPr="00A9099C">
        <w:rPr>
          <w:rFonts w:ascii="Times New Roman" w:hAnsi="Times New Roman" w:cs="Times New Roman"/>
          <w:i/>
          <w:iCs/>
          <w:sz w:val="24"/>
          <w:szCs w:val="24"/>
          <w:lang w:val="en-US"/>
        </w:rPr>
        <w:t>Campylobacter</w:t>
      </w:r>
      <w:r w:rsidRPr="00A9099C">
        <w:rPr>
          <w:rFonts w:ascii="Times New Roman" w:hAnsi="Times New Roman" w:cs="Times New Roman"/>
          <w:sz w:val="24"/>
          <w:szCs w:val="24"/>
          <w:lang w:val="en-US"/>
        </w:rPr>
        <w:t>.</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Transmiterea rezultatelor testării tuturor partenerilor din lanţul alimentar va crește nivelul de</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informare și va permite un control mai bun al </w:t>
      </w:r>
      <w:r w:rsidRPr="00A9099C">
        <w:rPr>
          <w:rFonts w:ascii="Times New Roman" w:hAnsi="Times New Roman" w:cs="Times New Roman"/>
          <w:i/>
          <w:iCs/>
          <w:sz w:val="24"/>
          <w:szCs w:val="24"/>
          <w:lang w:val="en-US"/>
        </w:rPr>
        <w:t xml:space="preserve">Salmonellei </w:t>
      </w:r>
      <w:r w:rsidRPr="00A9099C">
        <w:rPr>
          <w:rFonts w:ascii="Times New Roman" w:hAnsi="Times New Roman" w:cs="Times New Roman"/>
          <w:sz w:val="24"/>
          <w:szCs w:val="24"/>
          <w:lang w:val="en-US"/>
        </w:rPr>
        <w:t xml:space="preserve">(și al </w:t>
      </w:r>
      <w:r w:rsidRPr="00A9099C">
        <w:rPr>
          <w:rFonts w:ascii="Times New Roman" w:hAnsi="Times New Roman" w:cs="Times New Roman"/>
          <w:i/>
          <w:iCs/>
          <w:sz w:val="24"/>
          <w:szCs w:val="24"/>
          <w:lang w:val="en-US"/>
        </w:rPr>
        <w:t>Campylobacterului</w:t>
      </w:r>
      <w:r w:rsidRPr="00A9099C">
        <w:rPr>
          <w:rFonts w:ascii="Times New Roman" w:hAnsi="Times New Roman" w:cs="Times New Roman"/>
          <w:sz w:val="24"/>
          <w:szCs w:val="24"/>
          <w:lang w:val="en-US"/>
        </w:rPr>
        <w:t>) și de aceea</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trebuie încurajată.</w:t>
      </w:r>
    </w:p>
    <w:p w:rsidR="002826D7"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rPr>
          <w:rFonts w:ascii="Times New Roman" w:hAnsi="Times New Roman" w:cs="Times New Roman"/>
          <w:b/>
          <w:bCs/>
          <w:i/>
          <w:iCs/>
          <w:sz w:val="24"/>
          <w:szCs w:val="24"/>
          <w:lang w:val="en-US"/>
        </w:rPr>
      </w:pPr>
      <w:r w:rsidRPr="00A9099C">
        <w:rPr>
          <w:rFonts w:ascii="Times New Roman" w:hAnsi="Times New Roman" w:cs="Times New Roman"/>
          <w:b/>
          <w:bCs/>
          <w:sz w:val="24"/>
          <w:szCs w:val="24"/>
          <w:lang w:val="en-US"/>
        </w:rPr>
        <w:t xml:space="preserve"> Procedurile de recoltare a probelor și de testare a </w:t>
      </w:r>
      <w:r w:rsidRPr="00A9099C">
        <w:rPr>
          <w:rFonts w:ascii="Times New Roman" w:hAnsi="Times New Roman" w:cs="Times New Roman"/>
          <w:b/>
          <w:bCs/>
          <w:i/>
          <w:iCs/>
          <w:sz w:val="24"/>
          <w:szCs w:val="24"/>
          <w:lang w:val="en-US"/>
        </w:rPr>
        <w:t>Salmonellei</w:t>
      </w:r>
    </w:p>
    <w:p w:rsidR="002826D7"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rPr>
          <w:rFonts w:ascii="Times New Roman" w:hAnsi="Times New Roman" w:cs="Times New Roman"/>
          <w:b/>
          <w:bCs/>
          <w:i/>
          <w:iCs/>
          <w:sz w:val="24"/>
          <w:szCs w:val="24"/>
          <w:lang w:val="en-US"/>
        </w:rPr>
      </w:pPr>
      <w:r w:rsidRPr="00A9099C">
        <w:rPr>
          <w:rFonts w:ascii="Times New Roman" w:hAnsi="Times New Roman" w:cs="Times New Roman"/>
          <w:b/>
          <w:bCs/>
          <w:sz w:val="24"/>
          <w:szCs w:val="24"/>
          <w:lang w:val="en-US"/>
        </w:rPr>
        <w:t xml:space="preserve">Recoltarea probelor pentru testarea </w:t>
      </w:r>
      <w:r w:rsidRPr="00A9099C">
        <w:rPr>
          <w:rFonts w:ascii="Times New Roman" w:hAnsi="Times New Roman" w:cs="Times New Roman"/>
          <w:b/>
          <w:bCs/>
          <w:i/>
          <w:iCs/>
          <w:sz w:val="24"/>
          <w:szCs w:val="24"/>
          <w:lang w:val="en-US"/>
        </w:rPr>
        <w:t>Salmonellei</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Următoarele paragrafe descriu metodele de recoltare a probelor și de testare. Menţiunea </w:t>
      </w:r>
      <w:r>
        <w:rPr>
          <w:rFonts w:ascii="Times New Roman" w:hAnsi="Times New Roman" w:cs="Times New Roman"/>
          <w:sz w:val="24"/>
          <w:szCs w:val="24"/>
          <w:lang w:val="en-US"/>
        </w:rPr>
        <w:t>”</w:t>
      </w:r>
      <w:r w:rsidRPr="00A9099C">
        <w:rPr>
          <w:rFonts w:ascii="Times New Roman" w:hAnsi="Times New Roman" w:cs="Times New Roman"/>
          <w:sz w:val="24"/>
          <w:szCs w:val="24"/>
          <w:lang w:val="en-US"/>
        </w:rPr>
        <w:t>obligatoriu”</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se referă la regulamentul european. Menţiunea „opţional” sau „recomandat” înseamnă că nu</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există un regulament european. Nu uitaţi însă că s-ar putea să existe prevederi legale naţionale.</w:t>
      </w:r>
    </w:p>
    <w:p w:rsidR="002826D7" w:rsidRPr="00A9099C"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Recoltarea probelor de la pui de o zi crescuţi pentru carne: opţional</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Toate efectivele de reproducţie trebuie testate la intervale stabilite, conform Regulamentului UE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nr. </w:t>
      </w:r>
      <w:r w:rsidRPr="00A9099C">
        <w:rPr>
          <w:rFonts w:ascii="Times New Roman" w:hAnsi="Times New Roman" w:cs="Times New Roman"/>
          <w:sz w:val="24"/>
          <w:szCs w:val="24"/>
          <w:lang w:val="en-US"/>
        </w:rPr>
        <w:t xml:space="preserve">2160/2003 privind controlul </w:t>
      </w:r>
      <w:r w:rsidRPr="00A9099C">
        <w:rPr>
          <w:rFonts w:ascii="Times New Roman" w:hAnsi="Times New Roman" w:cs="Times New Roman"/>
          <w:i/>
          <w:iCs/>
          <w:sz w:val="24"/>
          <w:szCs w:val="24"/>
          <w:lang w:val="en-US"/>
        </w:rPr>
        <w:t xml:space="preserve">Salmonelei </w:t>
      </w:r>
      <w:r w:rsidRPr="00A9099C">
        <w:rPr>
          <w:rFonts w:ascii="Times New Roman" w:hAnsi="Times New Roman" w:cs="Times New Roman"/>
          <w:sz w:val="24"/>
          <w:szCs w:val="24"/>
          <w:lang w:val="en-US"/>
        </w:rPr>
        <w:t xml:space="preserve">și al altor agenţi zoonotici specifi ci prezenţi în </w:t>
      </w:r>
      <w:r>
        <w:rPr>
          <w:rFonts w:ascii="Times New Roman" w:hAnsi="Times New Roman" w:cs="Times New Roman"/>
          <w:sz w:val="24"/>
          <w:szCs w:val="24"/>
          <w:lang w:val="en-US"/>
        </w:rPr>
        <w:t>r</w:t>
      </w:r>
      <w:r w:rsidRPr="00A9099C">
        <w:rPr>
          <w:rFonts w:ascii="Times New Roman" w:hAnsi="Times New Roman" w:cs="Times New Roman"/>
          <w:sz w:val="24"/>
          <w:szCs w:val="24"/>
          <w:lang w:val="en-US"/>
        </w:rPr>
        <w:t>eţeaua</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alimentară și conform Regulamentului nr. 200/2010 cu privire la obiectivul de reducere a prevalenţei</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serotipurilor de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la efectivele de reproducţie din specia Gallus gallus, de aceea</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transmiterea verticală a primelor cinci serotipuri de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devine mai puţin probabilă.</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Testarea puilor de o zi crescuţi pentru carne (pui de carne) la sosirea în fermă nu este prevăzută</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în legislaţia UE relevantă și, prin urmare, nu este solicitată în mod obligatoriu.</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Când se dorește verifi</w:t>
      </w:r>
      <w:r w:rsidRPr="00A9099C">
        <w:rPr>
          <w:rFonts w:ascii="Times New Roman" w:hAnsi="Times New Roman" w:cs="Times New Roman"/>
          <w:sz w:val="24"/>
          <w:szCs w:val="24"/>
          <w:lang w:val="en-US"/>
        </w:rPr>
        <w:t xml:space="preserve">carea încrucișată a nivelului </w:t>
      </w:r>
      <w:r w:rsidRPr="00A9099C">
        <w:rPr>
          <w:rFonts w:ascii="Times New Roman" w:hAnsi="Times New Roman" w:cs="Times New Roman"/>
          <w:i/>
          <w:iCs/>
          <w:sz w:val="24"/>
          <w:szCs w:val="24"/>
          <w:lang w:val="en-US"/>
        </w:rPr>
        <w:t xml:space="preserve">Salmonellei </w:t>
      </w:r>
      <w:r w:rsidRPr="00A9099C">
        <w:rPr>
          <w:rFonts w:ascii="Times New Roman" w:hAnsi="Times New Roman" w:cs="Times New Roman"/>
          <w:sz w:val="24"/>
          <w:szCs w:val="24"/>
          <w:lang w:val="en-US"/>
        </w:rPr>
        <w:t>la puii livraţi, recoltarea probelor</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lastRenderedPageBreak/>
        <w:t>trebuie efectuată în mod steril, utilizând îmbrăcăminte de protecţie curată, inclusiv mănuși de plastic</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de unică folosinţă, la camionul cu pui. Contaminarea probelor prin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rămasă în praf</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poate apărea cu ușurinţă dacă recoltarea probelor are loc într-un adăpost de pui care nu a fost bine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dezinfectat.</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Mai multe probe mari de la căptușelile de cutii pentru livrarea puilor, reprezentând toate efectivele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furnizate sau tampoane din material textil cu tifon mare sau tampoane „chifonette” de minimum</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900 cm2, și toţi puii găsiţi morţi la sosire sau uciși pot fi testaţi. Mostrele din același tip pot fi</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cumulate pentru testare acolo unde este necesar.</w:t>
      </w:r>
    </w:p>
    <w:p w:rsidR="002826D7"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Recoltarea de probe de la puii de carne: obligatoriu</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Următoarele capitole descriu procedurile de recoltare a probelor și de testare, potrivit </w:t>
      </w:r>
      <w:r>
        <w:rPr>
          <w:rFonts w:ascii="Times New Roman" w:hAnsi="Times New Roman" w:cs="Times New Roman"/>
          <w:sz w:val="24"/>
          <w:szCs w:val="24"/>
          <w:lang w:val="en-US"/>
        </w:rPr>
        <w:t>r</w:t>
      </w:r>
      <w:r w:rsidRPr="00A9099C">
        <w:rPr>
          <w:rFonts w:ascii="Times New Roman" w:hAnsi="Times New Roman" w:cs="Times New Roman"/>
          <w:sz w:val="24"/>
          <w:szCs w:val="24"/>
          <w:lang w:val="en-US"/>
        </w:rPr>
        <w:t>egulamentelor</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UE, dar legislaţia naţională le poate depăși și trebuie respectată.</w:t>
      </w:r>
    </w:p>
    <w:p w:rsidR="002826D7"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Perioada de recoltare a probelor</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Recoltarea probelor la puii de carne este obligatorie și este prevăzută de legislaţia UE.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Trebuie recoltate probe de la păsări cu trei săptămâni înainte de tăiere.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Este de preferat ca recoltarea probelor să fi e efectuată cât mai aproape posibil de data tăierii,</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astfel </w:t>
      </w:r>
      <w:r>
        <w:rPr>
          <w:rFonts w:ascii="Times New Roman" w:hAnsi="Times New Roman" w:cs="Times New Roman"/>
          <w:sz w:val="24"/>
          <w:szCs w:val="24"/>
          <w:lang w:val="en-US"/>
        </w:rPr>
        <w:t>încât abatorul să poată planifi</w:t>
      </w:r>
      <w:r w:rsidRPr="00A9099C">
        <w:rPr>
          <w:rFonts w:ascii="Times New Roman" w:hAnsi="Times New Roman" w:cs="Times New Roman"/>
          <w:sz w:val="24"/>
          <w:szCs w:val="24"/>
          <w:lang w:val="en-US"/>
        </w:rPr>
        <w:t>ca și tăia efectivele pozitive în mod corect. Totuși, este important</w:t>
      </w:r>
      <w:r>
        <w:rPr>
          <w:rFonts w:ascii="Times New Roman" w:hAnsi="Times New Roman" w:cs="Times New Roman"/>
          <w:sz w:val="24"/>
          <w:szCs w:val="24"/>
          <w:lang w:val="en-US"/>
        </w:rPr>
        <w:t xml:space="preserve"> să se aloce sufi</w:t>
      </w:r>
      <w:r w:rsidRPr="00A9099C">
        <w:rPr>
          <w:rFonts w:ascii="Times New Roman" w:hAnsi="Times New Roman" w:cs="Times New Roman"/>
          <w:sz w:val="24"/>
          <w:szCs w:val="24"/>
          <w:lang w:val="en-US"/>
        </w:rPr>
        <w:t>cient timp pentru testare și pentru raportarea rezultatelor pentru a permite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planifi carea și tăierea dacă este necesar.</w:t>
      </w:r>
    </w:p>
    <w:p w:rsidR="002826D7"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Procedura de recoltare a probelor</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Trebuie să se utilizeze minimum două perechi de tampoane șosete per efectiv de păsări, adică</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patru tampoane șosete per adăpost. Suprafaţa tampoanelor șosete trebuie umezită dinainte, cu</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substanţe diluante potrivite. Este recomandabil ca laboratorul să furnizeze tampoanele șosete.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Administratorul fermei trebuie să-și pună tampoanele șosete peste husele sterile impermeabile</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de pe cizme purtate peste încălţămintea sa, și să se asigure că face cel puţin 100 de pași –</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pentru a cuprinde întreaga lungime a suprafeţei adăpostului și a tuturor sub-diviziunilor acestuia.</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Recoltarea probelor trebuie să fi e efectuată înainte de înlocuirea așternutului pentru păsări. După</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recoltarea probelor, tampoanele șosete trebuie să fi e transferate cu grijă într-un recipient steril.</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Materii fecale aderente trebuie să fi e prezente pe husele pentru cizme, care trebuie să fie murdărite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în mod vizibil. Probele trebuie expediate imediat și în mod corect la laborator, cât mai repede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posibil, și nu trebuie să fi e expuse unor condiţii de căldură înainte de testare.</w:t>
      </w:r>
    </w:p>
    <w:p w:rsidR="002826D7"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Recoltarea probelor în timpul operaţiunilor de rărire și depopulare: opţional</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În timpul operaţiunilor de rărire și depopulare efectuate pe un efectiv de păsări depistat negativ</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cu </w:t>
      </w:r>
      <w:r w:rsidRPr="00A9099C">
        <w:rPr>
          <w:rFonts w:ascii="Times New Roman" w:hAnsi="Times New Roman" w:cs="Times New Roman"/>
          <w:i/>
          <w:iCs/>
          <w:sz w:val="24"/>
          <w:szCs w:val="24"/>
          <w:lang w:val="en-US"/>
        </w:rPr>
        <w:t>Salmonella</w:t>
      </w:r>
      <w:r w:rsidRPr="00A9099C">
        <w:rPr>
          <w:rFonts w:ascii="Times New Roman" w:hAnsi="Times New Roman" w:cs="Times New Roman"/>
          <w:sz w:val="24"/>
          <w:szCs w:val="24"/>
          <w:lang w:val="en-US"/>
        </w:rPr>
        <w:t>, trebuie acordată o atenţie specială pentru a evita infectarea prin intermediul</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echipamentului de prindere, al lăzilor și recipientelor contaminate. Fermierul poate dori să preleveze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probe de pe camionul de transportare, de pe lăzile și/sau recipientele care intră în contact</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cu efectivul său de pui. Pentru a fi pregătit, fermierul trebuie să contacteze în prealabil </w:t>
      </w:r>
      <w:r>
        <w:rPr>
          <w:rFonts w:ascii="Times New Roman" w:hAnsi="Times New Roman" w:cs="Times New Roman"/>
          <w:sz w:val="24"/>
          <w:szCs w:val="24"/>
          <w:lang w:val="en-US"/>
        </w:rPr>
        <w:t xml:space="preserve">medicul </w:t>
      </w:r>
      <w:r w:rsidRPr="00A9099C">
        <w:rPr>
          <w:rFonts w:ascii="Times New Roman" w:hAnsi="Times New Roman" w:cs="Times New Roman"/>
          <w:sz w:val="24"/>
          <w:szCs w:val="24"/>
          <w:lang w:val="en-US"/>
        </w:rPr>
        <w:t>veterinar sau laboratorul. În acest caz se utilizează lavete mari de material textil pentru a șterge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mai multe suprafeţe.</w:t>
      </w:r>
    </w:p>
    <w:p w:rsidR="002826D7"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Recoltarea probelor după curăţenie și dezinfecţie: opţional, dar recomandată</w:t>
      </w:r>
    </w:p>
    <w:p w:rsidR="002826D7" w:rsidRPr="00A9099C" w:rsidRDefault="002826D7" w:rsidP="002826D7">
      <w:pPr>
        <w:autoSpaceDE w:val="0"/>
        <w:autoSpaceDN w:val="0"/>
        <w:adjustRightInd w:val="0"/>
        <w:spacing w:after="0" w:line="240" w:lineRule="auto"/>
        <w:jc w:val="both"/>
        <w:rPr>
          <w:rFonts w:ascii="Times New Roman" w:hAnsi="Times New Roman" w:cs="Times New Roman"/>
          <w:b/>
          <w:bCs/>
          <w:i/>
          <w:iCs/>
          <w:sz w:val="24"/>
          <w:szCs w:val="24"/>
          <w:lang w:val="en-US"/>
        </w:rPr>
      </w:pPr>
      <w:r w:rsidRPr="00A9099C">
        <w:rPr>
          <w:rFonts w:ascii="Times New Roman" w:hAnsi="Times New Roman" w:cs="Times New Roman"/>
          <w:b/>
          <w:bCs/>
          <w:sz w:val="24"/>
          <w:szCs w:val="24"/>
          <w:lang w:val="en-US"/>
        </w:rPr>
        <w:t xml:space="preserve">după depistarea unui efectiv infectat cu </w:t>
      </w:r>
      <w:r w:rsidRPr="00A9099C">
        <w:rPr>
          <w:rFonts w:ascii="Times New Roman" w:hAnsi="Times New Roman" w:cs="Times New Roman"/>
          <w:b/>
          <w:bCs/>
          <w:i/>
          <w:iCs/>
          <w:sz w:val="24"/>
          <w:szCs w:val="24"/>
          <w:lang w:val="en-US"/>
        </w:rPr>
        <w:t>Salmonella</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Pentru a asigura efi cienţa procedurilor de curăţare și dezinfectare, se recomandă prelevarea de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lastRenderedPageBreak/>
        <w:t xml:space="preserve">probe pentru a depista prezenţa </w:t>
      </w:r>
      <w:r w:rsidRPr="00A9099C">
        <w:rPr>
          <w:rFonts w:ascii="Times New Roman" w:hAnsi="Times New Roman" w:cs="Times New Roman"/>
          <w:i/>
          <w:iCs/>
          <w:sz w:val="24"/>
          <w:szCs w:val="24"/>
          <w:lang w:val="en-US"/>
        </w:rPr>
        <w:t>Salmonellei</w:t>
      </w:r>
      <w:r w:rsidRPr="00A9099C">
        <w:rPr>
          <w:rFonts w:ascii="Times New Roman" w:hAnsi="Times New Roman" w:cs="Times New Roman"/>
          <w:sz w:val="24"/>
          <w:szCs w:val="24"/>
          <w:lang w:val="en-US"/>
        </w:rPr>
        <w:t>.</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Dacă se depistează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după dezinfecţie, în mod ideal, procesul de dezinfecţie trebuie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repetat.</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Probele trebuie testate cât mai repede posibil după recoltare, în mod ideal în aceeași zi. Trebuie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utilizată o metodă de cultură sensibilă pentru </w:t>
      </w:r>
      <w:r w:rsidRPr="00A9099C">
        <w:rPr>
          <w:rFonts w:ascii="Times New Roman" w:hAnsi="Times New Roman" w:cs="Times New Roman"/>
          <w:i/>
          <w:iCs/>
          <w:sz w:val="24"/>
          <w:szCs w:val="24"/>
          <w:lang w:val="en-US"/>
        </w:rPr>
        <w:t>Salmonella</w:t>
      </w:r>
      <w:r w:rsidRPr="00A9099C">
        <w:rPr>
          <w:rFonts w:ascii="Times New Roman" w:hAnsi="Times New Roman" w:cs="Times New Roman"/>
          <w:sz w:val="24"/>
          <w:szCs w:val="24"/>
          <w:lang w:val="en-US"/>
        </w:rPr>
        <w:t>, adecvată pentru probele prelevate</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din mediu. Laboratoarele la care sunt trimise probele pentru analiză trebuie să fi e autorizate</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corespunzător pentru a putea efectua testarea. Probele obligatorii prelevate potrivit legislaţiei</w:t>
      </w:r>
      <w:r w:rsidR="00114378">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trebuie trimise la un laborator autorizat.</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Testele suplimentare d</w:t>
      </w:r>
      <w:r w:rsidR="00114378">
        <w:rPr>
          <w:rFonts w:ascii="Times New Roman" w:hAnsi="Times New Roman" w:cs="Times New Roman"/>
          <w:sz w:val="24"/>
          <w:szCs w:val="24"/>
          <w:lang w:val="en-US"/>
        </w:rPr>
        <w:t>e determinare a igienogramelor</w:t>
      </w:r>
      <w:r w:rsidRPr="00A9099C">
        <w:rPr>
          <w:rFonts w:ascii="Times New Roman" w:hAnsi="Times New Roman" w:cs="Times New Roman"/>
          <w:sz w:val="24"/>
          <w:szCs w:val="24"/>
          <w:lang w:val="en-US"/>
        </w:rPr>
        <w:t xml:space="preserve"> suprafeţei care implică stabilirea numărului</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de bacterii enterice sau NTG (numărul total de germeni) pot fi de asemenea utile pentru</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a evalua efi cienţa operaţiunilor de curăţare și dezinfectare în cazul în care </w:t>
      </w:r>
      <w:r w:rsidRPr="00A9099C">
        <w:rPr>
          <w:rFonts w:ascii="Times New Roman" w:hAnsi="Times New Roman" w:cs="Times New Roman"/>
          <w:i/>
          <w:iCs/>
          <w:sz w:val="24"/>
          <w:szCs w:val="24"/>
          <w:lang w:val="en-US"/>
        </w:rPr>
        <w:t xml:space="preserve">Salmonella </w:t>
      </w:r>
      <w:r w:rsidRPr="00A9099C">
        <w:rPr>
          <w:rFonts w:ascii="Times New Roman" w:hAnsi="Times New Roman" w:cs="Times New Roman"/>
          <w:sz w:val="24"/>
          <w:szCs w:val="24"/>
          <w:lang w:val="en-US"/>
        </w:rPr>
        <w:t>nu este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prezentă. Dacă rezultatul testului pentru depistarea </w:t>
      </w:r>
      <w:r w:rsidRPr="00A9099C">
        <w:rPr>
          <w:rFonts w:ascii="Times New Roman" w:hAnsi="Times New Roman" w:cs="Times New Roman"/>
          <w:i/>
          <w:iCs/>
          <w:sz w:val="24"/>
          <w:szCs w:val="24"/>
          <w:lang w:val="en-US"/>
        </w:rPr>
        <w:t xml:space="preserve">Salmonellei </w:t>
      </w:r>
      <w:r w:rsidRPr="00A9099C">
        <w:rPr>
          <w:rFonts w:ascii="Times New Roman" w:hAnsi="Times New Roman" w:cs="Times New Roman"/>
          <w:sz w:val="24"/>
          <w:szCs w:val="24"/>
          <w:lang w:val="en-US"/>
        </w:rPr>
        <w:t>este pozitiv, este de preferat ca</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dezinfecţia să fi e repetată și să se testeze efi cienţa programului de dezinfectare.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Pentru a fi testate pentru depistarea </w:t>
      </w:r>
      <w:r w:rsidRPr="00A9099C">
        <w:rPr>
          <w:rFonts w:ascii="Times New Roman" w:hAnsi="Times New Roman" w:cs="Times New Roman"/>
          <w:i/>
          <w:iCs/>
          <w:sz w:val="24"/>
          <w:szCs w:val="24"/>
          <w:lang w:val="en-US"/>
        </w:rPr>
        <w:t>Salmonellei</w:t>
      </w:r>
      <w:r w:rsidRPr="00A9099C">
        <w:rPr>
          <w:rFonts w:ascii="Times New Roman" w:hAnsi="Times New Roman" w:cs="Times New Roman"/>
          <w:sz w:val="24"/>
          <w:szCs w:val="24"/>
          <w:lang w:val="en-US"/>
        </w:rPr>
        <w:t>, probele trebuie recoltate din</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lavete pentru podele și mături;</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pereţi și uși, inclusiv suprafeţele ascunse din jurul balamalelor etc.;</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găuri și crăpături în podeaua adăpostului;</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așternutul uzat, dejecţiile rămase în găuri și crăpăturile din pereţii scunzi;</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fi tinguri (de ex. grinzi, ţevi, platforme pentru rezervoare de hrană, ventilatoare);</w:t>
      </w:r>
    </w:p>
    <w:p w:rsidR="002826D7" w:rsidRPr="00F11DE4"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postamentul suportului din lemn pentru piloni și compartimente;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ventilatoare montate pe perete și ventilatoare mobile;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cilindri de alimentare și rezervoare;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clocitoare și alte jgheaburi și sisteme pentru hrană și apă;</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podele și fi tinguri din anticamere;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rozătoare, fecale de rozătoare, gândaci de gunoi și alte artropode dacă sunt prezente.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Cele mai importante locuri sunt sistemele de asigurare a hranei, sistemele de asigurare a apei de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băut, podelele, orifi ciile de intrare și ieșire a aerului, dacă sunt montate pe acoperiș sau schimbate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la fi nalul culturii, găurile la nivel jos și ieșituri din pereţi și compartimente. Probele trebuie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prelevate cu lavete mari din material textil, în mod ideal direct din mediul de pre-îmbogăţire care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este cultivat în ziua recoltării. Trebuie șterse cel puţin 10 suprafeţe diferite pe fi ecare categorie de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probă. Dacă este necesar, probele pot fi cumulate din motive de economie, dar cele mai bune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rezultate se obţin cu un număr mare de probe individuale.</w:t>
      </w:r>
    </w:p>
    <w:p w:rsidR="002826D7"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Recoltarea de probe din furaje: opţional</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Furnizorii de furaje trebuie să elaboreze, să pună în aplicare și să menţină o procedură </w:t>
      </w:r>
      <w:r>
        <w:rPr>
          <w:rFonts w:ascii="Times New Roman" w:hAnsi="Times New Roman" w:cs="Times New Roman"/>
          <w:sz w:val="24"/>
          <w:szCs w:val="24"/>
          <w:lang w:val="en-US"/>
        </w:rPr>
        <w:t xml:space="preserve">permanent </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sau proceduri bazate pe principiile HACCP (Analiza riscurilor și punctele critice de control),</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inclusiv o procedură de control a </w:t>
      </w:r>
      <w:r w:rsidRPr="00A9099C">
        <w:rPr>
          <w:rFonts w:ascii="Times New Roman" w:hAnsi="Times New Roman" w:cs="Times New Roman"/>
          <w:i/>
          <w:iCs/>
          <w:sz w:val="24"/>
          <w:szCs w:val="24"/>
          <w:lang w:val="en-US"/>
        </w:rPr>
        <w:t>Salmonellei</w:t>
      </w:r>
      <w:r w:rsidRPr="00A9099C">
        <w:rPr>
          <w:rFonts w:ascii="Times New Roman" w:hAnsi="Times New Roman" w:cs="Times New Roman"/>
          <w:sz w:val="24"/>
          <w:szCs w:val="24"/>
          <w:lang w:val="en-US"/>
        </w:rPr>
        <w:t>, potrivit regulamentelor UE.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Testarea furajelor la sosirea în fermă sau de către fermier nu este prevăzută în legislaţia UE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relevantă, așadar, nu trebuie solicitată în mod obligatoriu, dar pot fi prelevate probe și depozitate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în siguranţă sub aspectul biosercurităţii spre a fi testate ulterior, dacă apare o problemă. Dacă fermierul</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utilizează propriile cereale, el trebuie să gestioneze riscul infectării cu </w:t>
      </w:r>
      <w:r w:rsidRPr="00A9099C">
        <w:rPr>
          <w:rFonts w:ascii="Times New Roman" w:hAnsi="Times New Roman" w:cs="Times New Roman"/>
          <w:i/>
          <w:iCs/>
          <w:sz w:val="24"/>
          <w:szCs w:val="24"/>
          <w:lang w:val="en-US"/>
        </w:rPr>
        <w:t>Salmonella</w:t>
      </w:r>
      <w:r w:rsidRPr="00A9099C">
        <w:rPr>
          <w:rFonts w:ascii="Times New Roman" w:hAnsi="Times New Roman" w:cs="Times New Roman"/>
          <w:sz w:val="24"/>
          <w:szCs w:val="24"/>
          <w:lang w:val="en-US"/>
        </w:rPr>
        <w:t>. Testarea</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trebuie să includă amestecul de furaje.</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În cazul în care crescătorul de pui de carne dorește să efectueze o testare încrucișată cu privire la</w:t>
      </w:r>
    </w:p>
    <w:p w:rsidR="002826D7" w:rsidRPr="00A9099C" w:rsidRDefault="002826D7" w:rsidP="002826D7">
      <w:pPr>
        <w:autoSpaceDE w:val="0"/>
        <w:autoSpaceDN w:val="0"/>
        <w:adjustRightInd w:val="0"/>
        <w:spacing w:after="0" w:line="240" w:lineRule="auto"/>
        <w:jc w:val="both"/>
        <w:rPr>
          <w:rFonts w:ascii="Times New Roman" w:hAnsi="Times New Roman" w:cs="Times New Roman"/>
          <w:sz w:val="24"/>
          <w:szCs w:val="24"/>
          <w:lang w:val="en-US"/>
        </w:rPr>
      </w:pPr>
      <w:r w:rsidRPr="00A9099C">
        <w:rPr>
          <w:rFonts w:ascii="Times New Roman" w:hAnsi="Times New Roman" w:cs="Times New Roman"/>
          <w:sz w:val="24"/>
          <w:szCs w:val="24"/>
          <w:lang w:val="en-US"/>
        </w:rPr>
        <w:t xml:space="preserve">prezenţa </w:t>
      </w:r>
      <w:r w:rsidRPr="00A9099C">
        <w:rPr>
          <w:rFonts w:ascii="Times New Roman" w:hAnsi="Times New Roman" w:cs="Times New Roman"/>
          <w:i/>
          <w:iCs/>
          <w:sz w:val="24"/>
          <w:szCs w:val="24"/>
          <w:lang w:val="en-US"/>
        </w:rPr>
        <w:t xml:space="preserve">Salmonellei </w:t>
      </w:r>
      <w:r w:rsidRPr="00A9099C">
        <w:rPr>
          <w:rFonts w:ascii="Times New Roman" w:hAnsi="Times New Roman" w:cs="Times New Roman"/>
          <w:sz w:val="24"/>
          <w:szCs w:val="24"/>
          <w:lang w:val="en-US"/>
        </w:rPr>
        <w:t>în furajele livrate, recoltarea probelor trebuie să se efectueze cu o ţepușă sterilă</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de recoltare a probelor, cu mănuși sau cu o pungă întoarsă pe dos, din mai multe locuri diferite</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de pe acoperișul camionului cu furaje, în prezenţa ambelor părţi implicate (furnizorul de </w:t>
      </w:r>
      <w:r w:rsidRPr="00A9099C">
        <w:rPr>
          <w:rFonts w:ascii="Times New Roman" w:hAnsi="Times New Roman" w:cs="Times New Roman"/>
          <w:sz w:val="24"/>
          <w:szCs w:val="24"/>
          <w:lang w:val="en-US"/>
        </w:rPr>
        <w:lastRenderedPageBreak/>
        <w:t>furaje și</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 xml:space="preserve">crescătorul de pui de carne). Dimensiunea probei trebuie să fi e de minimum 400 g. Praful </w:t>
      </w:r>
      <w:r>
        <w:rPr>
          <w:rFonts w:ascii="Times New Roman" w:hAnsi="Times New Roman" w:cs="Times New Roman"/>
          <w:sz w:val="24"/>
          <w:szCs w:val="24"/>
          <w:lang w:val="en-US"/>
        </w:rPr>
        <w:t xml:space="preserve">residual </w:t>
      </w:r>
      <w:r w:rsidRPr="00A9099C">
        <w:rPr>
          <w:rFonts w:ascii="Times New Roman" w:hAnsi="Times New Roman" w:cs="Times New Roman"/>
          <w:sz w:val="24"/>
          <w:szCs w:val="24"/>
          <w:lang w:val="en-US"/>
        </w:rPr>
        <w:t>de la baza camionului cu furaje după golire este cea mai bună probă, dar acesta nu poate fi mereu</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accesibil. Un indiciu al contaminării furajelor poate fi de asemenea obţinut prin testarea prafului din</w:t>
      </w:r>
      <w:r>
        <w:rPr>
          <w:rFonts w:ascii="Times New Roman" w:hAnsi="Times New Roman" w:cs="Times New Roman"/>
          <w:sz w:val="24"/>
          <w:szCs w:val="24"/>
          <w:lang w:val="en-US"/>
        </w:rPr>
        <w:t xml:space="preserve"> </w:t>
      </w:r>
      <w:r w:rsidRPr="00A9099C">
        <w:rPr>
          <w:rFonts w:ascii="Times New Roman" w:hAnsi="Times New Roman" w:cs="Times New Roman"/>
          <w:sz w:val="24"/>
          <w:szCs w:val="24"/>
          <w:lang w:val="en-US"/>
        </w:rPr>
        <w:t>interiorul cilindrilor principali de alimentare sau din ţevile de aerisire/colectoarele de praf.</w:t>
      </w:r>
    </w:p>
    <w:p w:rsidR="002826D7"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rPr>
          <w:rFonts w:ascii="Times New Roman" w:hAnsi="Times New Roman" w:cs="Times New Roman"/>
          <w:b/>
          <w:bCs/>
          <w:sz w:val="24"/>
          <w:szCs w:val="24"/>
          <w:lang w:val="en-US"/>
        </w:rPr>
      </w:pPr>
      <w:r w:rsidRPr="00A9099C">
        <w:rPr>
          <w:rFonts w:ascii="Times New Roman" w:hAnsi="Times New Roman" w:cs="Times New Roman"/>
          <w:b/>
          <w:bCs/>
          <w:sz w:val="24"/>
          <w:szCs w:val="24"/>
          <w:lang w:val="en-US"/>
        </w:rPr>
        <w:t>Expedierea probelor</w:t>
      </w:r>
    </w:p>
    <w:p w:rsidR="002826D7" w:rsidRPr="00A9099C" w:rsidRDefault="002826D7" w:rsidP="002826D7">
      <w:pPr>
        <w:autoSpaceDE w:val="0"/>
        <w:autoSpaceDN w:val="0"/>
        <w:adjustRightInd w:val="0"/>
        <w:spacing w:after="0" w:line="240" w:lineRule="auto"/>
        <w:rPr>
          <w:rFonts w:ascii="Times New Roman" w:hAnsi="Times New Roman" w:cs="Times New Roman"/>
          <w:sz w:val="24"/>
          <w:szCs w:val="24"/>
          <w:lang w:val="en-US"/>
        </w:rPr>
      </w:pPr>
      <w:r w:rsidRPr="00A9099C">
        <w:rPr>
          <w:rFonts w:ascii="Times New Roman" w:hAnsi="Times New Roman" w:cs="Times New Roman"/>
          <w:sz w:val="24"/>
          <w:szCs w:val="24"/>
          <w:lang w:val="en-US"/>
        </w:rPr>
        <w:t>Probele trebuie ambalate și trimise la laboratorul de analize, unde trebuie să ajungă în timp de</w:t>
      </w:r>
    </w:p>
    <w:p w:rsidR="002826D7" w:rsidRPr="00A9099C" w:rsidRDefault="002826D7" w:rsidP="002826D7">
      <w:pPr>
        <w:autoSpaceDE w:val="0"/>
        <w:autoSpaceDN w:val="0"/>
        <w:adjustRightInd w:val="0"/>
        <w:spacing w:after="0" w:line="240" w:lineRule="auto"/>
        <w:rPr>
          <w:rFonts w:ascii="Times New Roman" w:hAnsi="Times New Roman" w:cs="Times New Roman"/>
          <w:sz w:val="24"/>
          <w:szCs w:val="24"/>
          <w:lang w:val="en-US"/>
        </w:rPr>
      </w:pPr>
      <w:r w:rsidRPr="00A9099C">
        <w:rPr>
          <w:rFonts w:ascii="Times New Roman" w:hAnsi="Times New Roman" w:cs="Times New Roman"/>
          <w:sz w:val="24"/>
          <w:szCs w:val="24"/>
          <w:lang w:val="en-US"/>
        </w:rPr>
        <w:t>48 de ore de la recoltare.</w:t>
      </w:r>
    </w:p>
    <w:p w:rsidR="002826D7" w:rsidRPr="00A9099C"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PROCEDURI DE RECOLTARE A PROBELOR găini ouătoare</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 xml:space="preserve">O procedură de prelevare a probelor poate fi creată cu ajutorul consultantului dv. veterinar, adaptată la situaţia de risc cu care se confruntă ferma şi respectând Programul Naţional de Control pentru </w:t>
      </w:r>
      <w:r w:rsidRPr="00A9099C">
        <w:rPr>
          <w:rFonts w:ascii="Times New Roman" w:hAnsi="Times New Roman" w:cs="Times New Roman"/>
          <w:bCs/>
          <w:i/>
          <w:iCs/>
          <w:sz w:val="24"/>
          <w:szCs w:val="24"/>
          <w:lang w:val="en-US"/>
        </w:rPr>
        <w:t xml:space="preserve">Salmonella </w:t>
      </w:r>
      <w:r w:rsidRPr="00A9099C">
        <w:rPr>
          <w:rFonts w:ascii="Times New Roman" w:hAnsi="Times New Roman" w:cs="Times New Roman"/>
          <w:bCs/>
          <w:sz w:val="24"/>
          <w:szCs w:val="24"/>
          <w:lang w:val="en-US"/>
        </w:rPr>
        <w:t>în efectivele de găini ouătoare. Programul Naţional de Control se va baza pe Regulamentul nr. 2160/2003, Regulamentul nr. 1168/2006 şi pe toate modificările ulterioare ale acestora.</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Procedurile de recoltare a probelor trebuie stabilite în conformitate cu prevederile Programului Naţional de Control.</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 xml:space="preserve">Orice probă pentru depistarea infecţiilor cu </w:t>
      </w:r>
      <w:r w:rsidRPr="00A9099C">
        <w:rPr>
          <w:rFonts w:ascii="Times New Roman" w:hAnsi="Times New Roman" w:cs="Times New Roman"/>
          <w:bCs/>
          <w:i/>
          <w:iCs/>
          <w:sz w:val="24"/>
          <w:szCs w:val="24"/>
          <w:lang w:val="en-US"/>
        </w:rPr>
        <w:t xml:space="preserve">Salmonella </w:t>
      </w:r>
      <w:r w:rsidRPr="00A9099C">
        <w:rPr>
          <w:rFonts w:ascii="Times New Roman" w:hAnsi="Times New Roman" w:cs="Times New Roman"/>
          <w:bCs/>
          <w:sz w:val="24"/>
          <w:szCs w:val="24"/>
          <w:lang w:val="en-US"/>
        </w:rPr>
        <w:t>trebuie recoltată într-un recipient steril din plastic sau o pungă cu aer. Probele trebuie păstrate la rece, expediate în termen de 24 ore de la colectare şi testate cât mai repede posibil la sosirea în laborator. Laboratoarele la care sunt trimise probele pentru analiză trebuie să obţină certificarea unei terţe părţi corespunzătore pentru a se putea efectua testarea.</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În plus, în ceea ce priveşte sănătatea animalelor, la primirea puilor de o zi sau a tineretului pregătiţ pentru ouat din alt stat membru, stabilirea originii lor trebuie să fie aprobată oficial pentru comerţul intracomunitar şi trebuie să aibă efectuată testarea pentru depistarea</w:t>
      </w:r>
      <w:r w:rsidR="00114378">
        <w:rPr>
          <w:rFonts w:ascii="Times New Roman" w:hAnsi="Times New Roman" w:cs="Times New Roman"/>
          <w:bCs/>
          <w:sz w:val="24"/>
          <w:szCs w:val="24"/>
          <w:lang w:val="en-US"/>
        </w:rPr>
        <w:t xml:space="preserve"> </w:t>
      </w:r>
      <w:r w:rsidRPr="00A9099C">
        <w:rPr>
          <w:rFonts w:ascii="Times New Roman" w:hAnsi="Times New Roman" w:cs="Times New Roman"/>
          <w:bCs/>
          <w:i/>
          <w:iCs/>
          <w:sz w:val="24"/>
          <w:szCs w:val="24"/>
          <w:lang w:val="en-US"/>
        </w:rPr>
        <w:t xml:space="preserve">Salmonella Gallinarum, Pullorum </w:t>
      </w:r>
      <w:r w:rsidRPr="00A9099C">
        <w:rPr>
          <w:rFonts w:ascii="Times New Roman" w:hAnsi="Times New Roman" w:cs="Times New Roman"/>
          <w:bCs/>
          <w:sz w:val="24"/>
          <w:szCs w:val="24"/>
          <w:lang w:val="en-US"/>
        </w:rPr>
        <w:t xml:space="preserve">şi </w:t>
      </w:r>
      <w:r w:rsidRPr="00A9099C">
        <w:rPr>
          <w:rFonts w:ascii="Times New Roman" w:hAnsi="Times New Roman" w:cs="Times New Roman"/>
          <w:bCs/>
          <w:i/>
          <w:iCs/>
          <w:sz w:val="24"/>
          <w:szCs w:val="24"/>
          <w:lang w:val="en-US"/>
        </w:rPr>
        <w:t xml:space="preserve">Mycoplasma gallispticum </w:t>
      </w:r>
      <w:r w:rsidRPr="00A9099C">
        <w:rPr>
          <w:rFonts w:ascii="Times New Roman" w:hAnsi="Times New Roman" w:cs="Times New Roman"/>
          <w:bCs/>
          <w:sz w:val="24"/>
          <w:szCs w:val="24"/>
          <w:lang w:val="en-US"/>
        </w:rPr>
        <w:t>conform Directivei 90/539/CEE.</w:t>
      </w:r>
    </w:p>
    <w:p w:rsidR="00114378" w:rsidRDefault="00114378"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Toate ţările terţe care exportă pui de o zi sau tineret pregătit pentru ouat în UE trebuie să facă dovada cerinţelor echivalente sub aspectul legislativ al UE.</w:t>
      </w:r>
    </w:p>
    <w:p w:rsidR="00114378" w:rsidRDefault="00114378"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a – Pui</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i/>
          <w:iCs/>
          <w:sz w:val="24"/>
          <w:szCs w:val="24"/>
          <w:lang w:val="en-US"/>
        </w:rPr>
      </w:pPr>
      <w:r w:rsidRPr="00A9099C">
        <w:rPr>
          <w:rFonts w:ascii="Times New Roman" w:hAnsi="Times New Roman" w:cs="Times New Roman"/>
          <w:bCs/>
          <w:sz w:val="24"/>
          <w:szCs w:val="24"/>
          <w:lang w:val="en-US"/>
        </w:rPr>
        <w:t xml:space="preserve">Operatorii trebuie să recolteze probe care vor fi testate pentru depistarea infecţiei cu </w:t>
      </w:r>
      <w:r w:rsidRPr="00A9099C">
        <w:rPr>
          <w:rFonts w:ascii="Times New Roman" w:hAnsi="Times New Roman" w:cs="Times New Roman"/>
          <w:bCs/>
          <w:i/>
          <w:iCs/>
          <w:sz w:val="24"/>
          <w:szCs w:val="24"/>
          <w:lang w:val="en-US"/>
        </w:rPr>
        <w:t xml:space="preserve">Salmonella   </w:t>
      </w:r>
      <w:r w:rsidRPr="00A9099C">
        <w:rPr>
          <w:rFonts w:ascii="Times New Roman" w:hAnsi="Times New Roman" w:cs="Times New Roman"/>
          <w:bCs/>
          <w:sz w:val="24"/>
          <w:szCs w:val="24"/>
          <w:lang w:val="en-US"/>
        </w:rPr>
        <w:t xml:space="preserve">a puii livraţi din staţia de incubare. În momentul recepţiei puilor la fermă, se recomandă de asemenea efectuarea unui test pentru depistarea infecţiilor cu </w:t>
      </w:r>
      <w:r w:rsidRPr="00A9099C">
        <w:rPr>
          <w:rFonts w:ascii="Times New Roman" w:hAnsi="Times New Roman" w:cs="Times New Roman"/>
          <w:bCs/>
          <w:i/>
          <w:iCs/>
          <w:sz w:val="24"/>
          <w:szCs w:val="24"/>
          <w:lang w:val="en-US"/>
        </w:rPr>
        <w:t>salmonella.</w:t>
      </w:r>
    </w:p>
    <w:p w:rsidR="00114378" w:rsidRDefault="00114378"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b - Tineret</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Prelevarea probelor şi testarea sunt necesare la puii de o zi şi cu două săptămâni4 înainte ca  păsările să fie transferate în unitatea de ouat (sau înainte de perioada de ouat).</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Rezultatele testelor trebuie puse la dispoziţie la timp pentru a se lua măsuri înainte ca păsările să fie transferate la fermele pentru păsări ouătoare.</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 xml:space="preserve">Proprietarii de efective care achiziţionează păsări pentru înlocuire trebuie să solicite furnizorului garanţii în ceea ce priveşte </w:t>
      </w:r>
      <w:r w:rsidRPr="00A9099C">
        <w:rPr>
          <w:rFonts w:ascii="Times New Roman" w:hAnsi="Times New Roman" w:cs="Times New Roman"/>
          <w:bCs/>
          <w:i/>
          <w:iCs/>
          <w:sz w:val="24"/>
          <w:szCs w:val="24"/>
          <w:lang w:val="en-US"/>
        </w:rPr>
        <w:t xml:space="preserve">Salmonella </w:t>
      </w:r>
      <w:r w:rsidRPr="00A9099C">
        <w:rPr>
          <w:rFonts w:ascii="Times New Roman" w:hAnsi="Times New Roman" w:cs="Times New Roman"/>
          <w:bCs/>
          <w:sz w:val="24"/>
          <w:szCs w:val="24"/>
          <w:lang w:val="en-US"/>
        </w:rPr>
        <w:t>şi programul de vaccinare (dacă este cazul).</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i/>
          <w:iCs/>
          <w:sz w:val="24"/>
          <w:szCs w:val="24"/>
          <w:lang w:val="en-US"/>
        </w:rPr>
      </w:pPr>
      <w:r w:rsidRPr="00A9099C">
        <w:rPr>
          <w:rFonts w:ascii="Times New Roman" w:hAnsi="Times New Roman" w:cs="Times New Roman"/>
          <w:bCs/>
          <w:sz w:val="24"/>
          <w:szCs w:val="24"/>
          <w:lang w:val="en-US"/>
        </w:rPr>
        <w:lastRenderedPageBreak/>
        <w:t xml:space="preserve">În momentul recepţiei puilor la ferma de găini ouătoare, se recomandă de asemenea un test pentru depistarea </w:t>
      </w:r>
      <w:r w:rsidRPr="00A9099C">
        <w:rPr>
          <w:rFonts w:ascii="Times New Roman" w:hAnsi="Times New Roman" w:cs="Times New Roman"/>
          <w:bCs/>
          <w:i/>
          <w:iCs/>
          <w:sz w:val="24"/>
          <w:szCs w:val="24"/>
          <w:lang w:val="en-US"/>
        </w:rPr>
        <w:t>Salmonellei.</w:t>
      </w:r>
    </w:p>
    <w:p w:rsidR="00114378" w:rsidRDefault="00114378"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c – Supravegherea în timpul ouatului</w:t>
      </w:r>
    </w:p>
    <w:p w:rsidR="002826D7" w:rsidRPr="00A9099C"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Programul Naţional de Control</w:t>
      </w:r>
      <w:r w:rsidRPr="00A9099C">
        <w:rPr>
          <w:rFonts w:ascii="Times New Roman" w:hAnsi="Times New Roman" w:cs="Times New Roman"/>
          <w:bCs/>
          <w:sz w:val="24"/>
          <w:szCs w:val="24"/>
          <w:lang w:val="en-US"/>
        </w:rPr>
        <w:t xml:space="preserve"> solicită ca frecvenţă minimă supravegherea la fiecare 15  săptămâni în timpul producţiei, începând de la 22-26 săptămâni. Acest program va stabili de asemenea metoda de prelevare a probelor, laboratoarele autorizate pentru depistarea infecţiilor cu </w:t>
      </w:r>
      <w:r w:rsidRPr="00A9099C">
        <w:rPr>
          <w:rFonts w:ascii="Times New Roman" w:hAnsi="Times New Roman" w:cs="Times New Roman"/>
          <w:bCs/>
          <w:i/>
          <w:iCs/>
          <w:sz w:val="24"/>
          <w:szCs w:val="24"/>
          <w:lang w:val="en-US"/>
        </w:rPr>
        <w:t xml:space="preserve">Salmonella </w:t>
      </w:r>
      <w:r w:rsidRPr="00A9099C">
        <w:rPr>
          <w:rFonts w:ascii="Times New Roman" w:hAnsi="Times New Roman" w:cs="Times New Roman"/>
          <w:bCs/>
          <w:sz w:val="24"/>
          <w:szCs w:val="24"/>
          <w:lang w:val="en-US"/>
        </w:rPr>
        <w:t>şi metodele analitice care vor fi utilizate.</w:t>
      </w:r>
    </w:p>
    <w:p w:rsidR="002826D7"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r w:rsidRPr="00A9099C">
        <w:rPr>
          <w:rFonts w:ascii="Times New Roman" w:hAnsi="Times New Roman" w:cs="Times New Roman"/>
          <w:bCs/>
          <w:sz w:val="24"/>
          <w:szCs w:val="24"/>
          <w:lang w:val="en-US"/>
        </w:rPr>
        <w:t xml:space="preserve">În cazul depistării vreunei probe pozitive, trebuie efectuat un test de confirmare de către autoritatea competentă din materiile fecale şi praf, oviducte şi </w:t>
      </w:r>
      <w:r>
        <w:rPr>
          <w:rFonts w:ascii="Times New Roman" w:hAnsi="Times New Roman" w:cs="Times New Roman"/>
          <w:bCs/>
          <w:sz w:val="24"/>
          <w:szCs w:val="24"/>
          <w:lang w:val="en-US"/>
        </w:rPr>
        <w:t>cecum sau ouă</w:t>
      </w:r>
      <w:r w:rsidRPr="00A9099C">
        <w:rPr>
          <w:rFonts w:ascii="Times New Roman" w:hAnsi="Times New Roman" w:cs="Times New Roman"/>
          <w:bCs/>
          <w:sz w:val="24"/>
          <w:szCs w:val="24"/>
          <w:lang w:val="en-US"/>
        </w:rPr>
        <w:t>.</w:t>
      </w:r>
    </w:p>
    <w:p w:rsidR="002826D7"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Pr="002826D7" w:rsidRDefault="002826D7" w:rsidP="002826D7">
      <w:pPr>
        <w:autoSpaceDE w:val="0"/>
        <w:autoSpaceDN w:val="0"/>
        <w:adjustRightInd w:val="0"/>
        <w:spacing w:after="0" w:line="240" w:lineRule="auto"/>
        <w:jc w:val="both"/>
        <w:rPr>
          <w:rFonts w:ascii="Times New Roman" w:hAnsi="Times New Roman" w:cs="Times New Roman"/>
          <w:bCs/>
          <w:sz w:val="24"/>
          <w:szCs w:val="24"/>
          <w:lang w:val="en-US"/>
        </w:rPr>
      </w:pPr>
    </w:p>
    <w:p w:rsidR="002826D7" w:rsidRDefault="002826D7" w:rsidP="002826D7">
      <w:pPr>
        <w:autoSpaceDE w:val="0"/>
        <w:autoSpaceDN w:val="0"/>
        <w:adjustRightInd w:val="0"/>
        <w:spacing w:after="0" w:line="240" w:lineRule="auto"/>
        <w:rPr>
          <w:rFonts w:ascii="Times New Roman" w:hAnsi="Times New Roman" w:cs="Times New Roman"/>
          <w:b/>
          <w:bCs/>
          <w:sz w:val="24"/>
          <w:szCs w:val="24"/>
        </w:rPr>
      </w:pPr>
      <w:r w:rsidRPr="002826D7">
        <w:rPr>
          <w:rFonts w:ascii="Times New Roman" w:hAnsi="Times New Roman" w:cs="Times New Roman" w:hint="eastAsia"/>
          <w:b/>
          <w:bCs/>
          <w:sz w:val="24"/>
          <w:szCs w:val="24"/>
        </w:rPr>
        <w:t>Criterii de siguranță a produselor alimentare</w:t>
      </w:r>
      <w:r w:rsidR="00114378">
        <w:rPr>
          <w:rFonts w:ascii="Times New Roman" w:hAnsi="Times New Roman" w:cs="Times New Roman"/>
          <w:b/>
          <w:bCs/>
          <w:sz w:val="24"/>
          <w:szCs w:val="24"/>
        </w:rPr>
        <w:t xml:space="preserve"> ABATOARE ȘI SECȚII TRANȘARE</w:t>
      </w:r>
    </w:p>
    <w:p w:rsidR="002826D7" w:rsidRDefault="002826D7" w:rsidP="002826D7">
      <w:pPr>
        <w:autoSpaceDE w:val="0"/>
        <w:autoSpaceDN w:val="0"/>
        <w:adjustRightInd w:val="0"/>
        <w:spacing w:after="0" w:line="240" w:lineRule="auto"/>
        <w:rPr>
          <w:rFonts w:ascii="Times New Roman" w:hAnsi="Times New Roman" w:cs="Times New Roman"/>
          <w:b/>
          <w:bCs/>
          <w:sz w:val="24"/>
          <w:szCs w:val="24"/>
        </w:rPr>
      </w:pPr>
    </w:p>
    <w:tbl>
      <w:tblPr>
        <w:tblStyle w:val="a7"/>
        <w:tblW w:w="5000" w:type="pct"/>
        <w:tblLook w:val="04A0" w:firstRow="1" w:lastRow="0" w:firstColumn="1" w:lastColumn="0" w:noHBand="0" w:noVBand="1"/>
      </w:tblPr>
      <w:tblGrid>
        <w:gridCol w:w="1312"/>
        <w:gridCol w:w="1798"/>
        <w:gridCol w:w="1293"/>
        <w:gridCol w:w="831"/>
        <w:gridCol w:w="889"/>
        <w:gridCol w:w="1216"/>
        <w:gridCol w:w="1164"/>
        <w:gridCol w:w="1073"/>
      </w:tblGrid>
      <w:tr w:rsidR="00AA0BA0" w:rsidRPr="00AA0BA0" w:rsidTr="00AA0BA0">
        <w:tc>
          <w:tcPr>
            <w:tcW w:w="685" w:type="pct"/>
            <w:vMerge w:val="restar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Categoria de produse</w:t>
            </w:r>
          </w:p>
        </w:tc>
        <w:tc>
          <w:tcPr>
            <w:tcW w:w="939" w:type="pct"/>
            <w:vMerge w:val="restar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Microorganism</w:t>
            </w:r>
          </w:p>
        </w:tc>
        <w:tc>
          <w:tcPr>
            <w:tcW w:w="1109" w:type="pct"/>
            <w:gridSpan w:val="2"/>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Plan de prelevare probe</w:t>
            </w:r>
          </w:p>
        </w:tc>
        <w:tc>
          <w:tcPr>
            <w:tcW w:w="1099" w:type="pct"/>
            <w:gridSpan w:val="2"/>
            <w:vAlign w:val="center"/>
          </w:tcPr>
          <w:p w:rsid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Limite</w:t>
            </w:r>
          </w:p>
        </w:tc>
        <w:tc>
          <w:tcPr>
            <w:tcW w:w="608" w:type="pct"/>
            <w:vMerge w:val="restar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Metoda analitică de referință</w:t>
            </w:r>
          </w:p>
        </w:tc>
        <w:tc>
          <w:tcPr>
            <w:tcW w:w="560" w:type="pct"/>
            <w:vMerge w:val="restar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Etapa căreia i se aplică criteriul</w:t>
            </w:r>
          </w:p>
        </w:tc>
      </w:tr>
      <w:tr w:rsidR="00AA0BA0" w:rsidRPr="00AA0BA0" w:rsidTr="00AA0BA0">
        <w:tc>
          <w:tcPr>
            <w:tcW w:w="685" w:type="pct"/>
            <w:vMerge/>
          </w:tcPr>
          <w:p w:rsidR="00AA0BA0" w:rsidRPr="00AA0BA0" w:rsidRDefault="00AA0BA0" w:rsidP="002826D7">
            <w:pPr>
              <w:autoSpaceDE w:val="0"/>
              <w:autoSpaceDN w:val="0"/>
              <w:adjustRightInd w:val="0"/>
              <w:rPr>
                <w:rFonts w:ascii="Times New Roman" w:hAnsi="Times New Roman" w:cs="Times New Roman"/>
                <w:bCs/>
                <w:sz w:val="24"/>
                <w:szCs w:val="24"/>
                <w:lang w:val="en-US"/>
              </w:rPr>
            </w:pPr>
          </w:p>
        </w:tc>
        <w:tc>
          <w:tcPr>
            <w:tcW w:w="939" w:type="pct"/>
            <w:vMerge/>
          </w:tcPr>
          <w:p w:rsidR="00AA0BA0" w:rsidRPr="00AA0BA0" w:rsidRDefault="00AA0BA0" w:rsidP="002826D7">
            <w:pPr>
              <w:autoSpaceDE w:val="0"/>
              <w:autoSpaceDN w:val="0"/>
              <w:adjustRightInd w:val="0"/>
              <w:rPr>
                <w:rFonts w:ascii="Times New Roman" w:hAnsi="Times New Roman" w:cs="Times New Roman"/>
                <w:bCs/>
                <w:sz w:val="24"/>
                <w:szCs w:val="24"/>
                <w:lang w:val="en-US"/>
              </w:rPr>
            </w:pPr>
          </w:p>
        </w:tc>
        <w:tc>
          <w:tcPr>
            <w:tcW w:w="675" w:type="pc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n</w:t>
            </w:r>
          </w:p>
        </w:tc>
        <w:tc>
          <w:tcPr>
            <w:tcW w:w="434" w:type="pc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c</w:t>
            </w:r>
          </w:p>
        </w:tc>
        <w:tc>
          <w:tcPr>
            <w:tcW w:w="464" w:type="pc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n</w:t>
            </w:r>
          </w:p>
        </w:tc>
        <w:tc>
          <w:tcPr>
            <w:tcW w:w="635" w:type="pct"/>
            <w:vAlign w:val="center"/>
          </w:tcPr>
          <w:p w:rsidR="00AA0BA0" w:rsidRPr="00AA0BA0" w:rsidRDefault="00AA0BA0" w:rsidP="00AA0BA0">
            <w:pPr>
              <w:autoSpaceDE w:val="0"/>
              <w:autoSpaceDN w:val="0"/>
              <w:adjustRightInd w:val="0"/>
              <w:jc w:val="center"/>
              <w:rPr>
                <w:rFonts w:ascii="Times New Roman" w:hAnsi="Times New Roman" w:cs="Times New Roman"/>
                <w:bCs/>
                <w:sz w:val="24"/>
                <w:szCs w:val="24"/>
                <w:lang w:val="en-US"/>
              </w:rPr>
            </w:pPr>
            <w:r>
              <w:rPr>
                <w:rFonts w:ascii="Times New Roman" w:hAnsi="Times New Roman" w:cs="Times New Roman"/>
                <w:bCs/>
                <w:sz w:val="24"/>
                <w:szCs w:val="24"/>
                <w:lang w:val="en-US"/>
              </w:rPr>
              <w:t>M</w:t>
            </w:r>
          </w:p>
        </w:tc>
        <w:tc>
          <w:tcPr>
            <w:tcW w:w="608" w:type="pct"/>
            <w:vMerge/>
          </w:tcPr>
          <w:p w:rsidR="00AA0BA0" w:rsidRPr="00AA0BA0" w:rsidRDefault="00AA0BA0" w:rsidP="002826D7">
            <w:pPr>
              <w:autoSpaceDE w:val="0"/>
              <w:autoSpaceDN w:val="0"/>
              <w:adjustRightInd w:val="0"/>
              <w:rPr>
                <w:rFonts w:ascii="Times New Roman" w:hAnsi="Times New Roman" w:cs="Times New Roman"/>
                <w:bCs/>
                <w:sz w:val="24"/>
                <w:szCs w:val="24"/>
                <w:lang w:val="en-US"/>
              </w:rPr>
            </w:pPr>
          </w:p>
        </w:tc>
        <w:tc>
          <w:tcPr>
            <w:tcW w:w="560" w:type="pct"/>
            <w:vMerge/>
          </w:tcPr>
          <w:p w:rsidR="00AA0BA0" w:rsidRPr="00AA0BA0" w:rsidRDefault="00AA0BA0" w:rsidP="002826D7">
            <w:pPr>
              <w:autoSpaceDE w:val="0"/>
              <w:autoSpaceDN w:val="0"/>
              <w:adjustRightInd w:val="0"/>
              <w:rPr>
                <w:rFonts w:ascii="Times New Roman" w:hAnsi="Times New Roman" w:cs="Times New Roman"/>
                <w:bCs/>
                <w:sz w:val="24"/>
                <w:szCs w:val="24"/>
                <w:lang w:val="en-US"/>
              </w:rPr>
            </w:pPr>
          </w:p>
        </w:tc>
      </w:tr>
      <w:tr w:rsidR="00AA0BA0" w:rsidRPr="00AA0BA0" w:rsidTr="00AA0BA0">
        <w:tc>
          <w:tcPr>
            <w:tcW w:w="685" w:type="pct"/>
          </w:tcPr>
          <w:p w:rsidR="00AA0BA0" w:rsidRPr="00AA0BA0" w:rsidRDefault="00AA0BA0" w:rsidP="00AA0BA0">
            <w:pPr>
              <w:pStyle w:val="a8"/>
              <w:rPr>
                <w:rFonts w:eastAsia="Arial Unicode MS"/>
                <w:color w:val="000000"/>
                <w:sz w:val="20"/>
                <w:szCs w:val="20"/>
              </w:rPr>
            </w:pPr>
            <w:r>
              <w:rPr>
                <w:rFonts w:eastAsia="Arial Unicode MS"/>
                <w:color w:val="000000"/>
                <w:sz w:val="20"/>
                <w:szCs w:val="20"/>
              </w:rPr>
              <w:t xml:space="preserve">Carne tocată </w:t>
            </w:r>
            <w:r w:rsidRPr="00AA0BA0">
              <w:rPr>
                <w:rFonts w:eastAsia="Arial Unicode MS"/>
                <w:color w:val="000000"/>
                <w:sz w:val="20"/>
                <w:szCs w:val="20"/>
              </w:rPr>
              <w:t>și preparate din carne de pasăre destinate să fie consumate preparate</w:t>
            </w:r>
          </w:p>
        </w:tc>
        <w:tc>
          <w:tcPr>
            <w:tcW w:w="939" w:type="pct"/>
          </w:tcPr>
          <w:p w:rsidR="00AA0BA0" w:rsidRPr="00AA0BA0" w:rsidRDefault="00AA0BA0" w:rsidP="00AA0BA0">
            <w:pPr>
              <w:pStyle w:val="a8"/>
              <w:rPr>
                <w:rFonts w:eastAsia="Arial Unicode MS"/>
                <w:color w:val="000000"/>
                <w:sz w:val="20"/>
                <w:szCs w:val="20"/>
              </w:rPr>
            </w:pPr>
            <w:r w:rsidRPr="00AA0BA0">
              <w:rPr>
                <w:rFonts w:eastAsia="Arial Unicode MS"/>
                <w:i/>
                <w:iCs/>
                <w:color w:val="000000"/>
                <w:sz w:val="20"/>
                <w:szCs w:val="20"/>
              </w:rPr>
              <w:t>Salmonella</w:t>
            </w:r>
          </w:p>
        </w:tc>
        <w:tc>
          <w:tcPr>
            <w:tcW w:w="675"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5</w:t>
            </w:r>
          </w:p>
        </w:tc>
        <w:tc>
          <w:tcPr>
            <w:tcW w:w="434"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0</w:t>
            </w:r>
          </w:p>
        </w:tc>
        <w:tc>
          <w:tcPr>
            <w:tcW w:w="464"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Absență în 25 g</w:t>
            </w:r>
          </w:p>
        </w:tc>
        <w:tc>
          <w:tcPr>
            <w:tcW w:w="635"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EN/ISO 6579</w:t>
            </w:r>
          </w:p>
        </w:tc>
        <w:tc>
          <w:tcPr>
            <w:tcW w:w="608"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Produse introduse pe piață în timpul perioadei lor de conservare</w:t>
            </w:r>
          </w:p>
        </w:tc>
        <w:tc>
          <w:tcPr>
            <w:tcW w:w="560"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Carne tocată și preparate din carne de pasăre destinate să fie consumate preparate</w:t>
            </w:r>
          </w:p>
        </w:tc>
      </w:tr>
      <w:tr w:rsidR="00AA0BA0" w:rsidRPr="00AA0BA0" w:rsidTr="00AA0BA0">
        <w:tc>
          <w:tcPr>
            <w:tcW w:w="685"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 Produse din carne de pasăre destinate să fie consumate preparate</w:t>
            </w:r>
          </w:p>
        </w:tc>
        <w:tc>
          <w:tcPr>
            <w:tcW w:w="939" w:type="pct"/>
          </w:tcPr>
          <w:p w:rsidR="00AA0BA0" w:rsidRPr="00AA0BA0" w:rsidRDefault="00AA0BA0">
            <w:pPr>
              <w:pStyle w:val="a8"/>
              <w:rPr>
                <w:rFonts w:eastAsia="Arial Unicode MS"/>
                <w:color w:val="000000"/>
                <w:sz w:val="20"/>
                <w:szCs w:val="20"/>
              </w:rPr>
            </w:pPr>
            <w:r w:rsidRPr="00AA0BA0">
              <w:rPr>
                <w:rFonts w:eastAsia="Arial Unicode MS"/>
                <w:i/>
                <w:iCs/>
                <w:color w:val="000000"/>
                <w:sz w:val="20"/>
                <w:szCs w:val="20"/>
              </w:rPr>
              <w:t>Salmonella</w:t>
            </w:r>
          </w:p>
        </w:tc>
        <w:tc>
          <w:tcPr>
            <w:tcW w:w="675"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5</w:t>
            </w:r>
          </w:p>
        </w:tc>
        <w:tc>
          <w:tcPr>
            <w:tcW w:w="434"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0</w:t>
            </w:r>
          </w:p>
        </w:tc>
        <w:tc>
          <w:tcPr>
            <w:tcW w:w="464"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Absență în 25 g</w:t>
            </w:r>
          </w:p>
        </w:tc>
        <w:tc>
          <w:tcPr>
            <w:tcW w:w="635"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EN/ISO 6579</w:t>
            </w:r>
          </w:p>
        </w:tc>
        <w:tc>
          <w:tcPr>
            <w:tcW w:w="608"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Produse introduse pe piață în timpul perioadei lor de conservare</w:t>
            </w:r>
          </w:p>
        </w:tc>
        <w:tc>
          <w:tcPr>
            <w:tcW w:w="560"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 Produse din carne de pasăre destinate să fie consumate preparate</w:t>
            </w:r>
          </w:p>
        </w:tc>
      </w:tr>
      <w:tr w:rsidR="00AA0BA0" w:rsidRPr="00AA0BA0" w:rsidTr="00AA0BA0">
        <w:tc>
          <w:tcPr>
            <w:tcW w:w="685"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Carne proaspătă de pasăre </w:t>
            </w:r>
          </w:p>
        </w:tc>
        <w:tc>
          <w:tcPr>
            <w:tcW w:w="939" w:type="pct"/>
          </w:tcPr>
          <w:p w:rsidR="00AA0BA0" w:rsidRDefault="00AA0BA0">
            <w:pPr>
              <w:pStyle w:val="a8"/>
              <w:rPr>
                <w:rFonts w:eastAsia="Arial Unicode MS"/>
                <w:color w:val="000000"/>
                <w:sz w:val="20"/>
                <w:szCs w:val="20"/>
              </w:rPr>
            </w:pPr>
            <w:r w:rsidRPr="00AA0BA0">
              <w:rPr>
                <w:rFonts w:eastAsia="Arial Unicode MS"/>
                <w:i/>
                <w:iCs/>
                <w:color w:val="000000"/>
                <w:sz w:val="20"/>
                <w:szCs w:val="20"/>
              </w:rPr>
              <w:t>Salmonella typhimurium</w:t>
            </w:r>
            <w:r w:rsidRPr="00AA0BA0">
              <w:rPr>
                <w:rFonts w:eastAsia="Arial Unicode MS"/>
                <w:color w:val="000000"/>
                <w:sz w:val="20"/>
                <w:szCs w:val="20"/>
              </w:rPr>
              <w:t> </w:t>
            </w:r>
          </w:p>
          <w:p w:rsidR="00AA0BA0" w:rsidRPr="00AA0BA0" w:rsidRDefault="00AA0BA0">
            <w:pPr>
              <w:pStyle w:val="a8"/>
              <w:rPr>
                <w:rFonts w:eastAsia="Arial Unicode MS"/>
                <w:color w:val="000000"/>
                <w:sz w:val="20"/>
                <w:szCs w:val="20"/>
              </w:rPr>
            </w:pPr>
            <w:r w:rsidRPr="00AA0BA0">
              <w:rPr>
                <w:rFonts w:eastAsia="Arial Unicode MS"/>
                <w:i/>
                <w:iCs/>
                <w:color w:val="000000"/>
                <w:sz w:val="20"/>
                <w:szCs w:val="20"/>
              </w:rPr>
              <w:t>Salmonella enteritidis</w:t>
            </w:r>
          </w:p>
        </w:tc>
        <w:tc>
          <w:tcPr>
            <w:tcW w:w="675"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5</w:t>
            </w:r>
          </w:p>
        </w:tc>
        <w:tc>
          <w:tcPr>
            <w:tcW w:w="434"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0</w:t>
            </w:r>
          </w:p>
        </w:tc>
        <w:tc>
          <w:tcPr>
            <w:tcW w:w="464"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Absență în 25 g</w:t>
            </w:r>
          </w:p>
        </w:tc>
        <w:tc>
          <w:tcPr>
            <w:tcW w:w="635"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EN/ISO 6579 (pentru detecție) sistemul White-Kaufmann-Le Minor (pentru serotipizare)</w:t>
            </w:r>
          </w:p>
        </w:tc>
        <w:tc>
          <w:tcPr>
            <w:tcW w:w="608" w:type="pct"/>
          </w:tcPr>
          <w:p w:rsidR="00AA0BA0" w:rsidRPr="00AA0BA0" w:rsidRDefault="00AA0BA0">
            <w:pPr>
              <w:pStyle w:val="a8"/>
              <w:jc w:val="both"/>
              <w:rPr>
                <w:rFonts w:eastAsia="Arial Unicode MS"/>
                <w:color w:val="000000"/>
                <w:sz w:val="20"/>
                <w:szCs w:val="20"/>
              </w:rPr>
            </w:pPr>
            <w:r w:rsidRPr="00AA0BA0">
              <w:rPr>
                <w:rFonts w:eastAsia="Arial Unicode MS"/>
                <w:color w:val="000000"/>
                <w:sz w:val="20"/>
                <w:szCs w:val="20"/>
              </w:rPr>
              <w:t>Produse introduse pe piață în timpul perioadei lor de conservare</w:t>
            </w:r>
          </w:p>
        </w:tc>
        <w:tc>
          <w:tcPr>
            <w:tcW w:w="560" w:type="pct"/>
          </w:tcPr>
          <w:p w:rsidR="00AA0BA0" w:rsidRPr="00AA0BA0" w:rsidRDefault="00AA0BA0" w:rsidP="00AA0BA0">
            <w:pPr>
              <w:pStyle w:val="a8"/>
              <w:rPr>
                <w:rFonts w:eastAsia="Arial Unicode MS"/>
                <w:color w:val="000000"/>
                <w:sz w:val="20"/>
                <w:szCs w:val="20"/>
              </w:rPr>
            </w:pPr>
            <w:r w:rsidRPr="00AA0BA0">
              <w:rPr>
                <w:rFonts w:eastAsia="Arial Unicode MS"/>
                <w:color w:val="000000"/>
                <w:sz w:val="20"/>
                <w:szCs w:val="20"/>
              </w:rPr>
              <w:t>Carne proaspătă de pasăre </w:t>
            </w:r>
          </w:p>
        </w:tc>
      </w:tr>
    </w:tbl>
    <w:p w:rsidR="002826D7" w:rsidRDefault="002826D7"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p w:rsidR="000B021D" w:rsidRDefault="000B021D" w:rsidP="002826D7">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Criterii de igienă a procesului</w:t>
      </w:r>
    </w:p>
    <w:p w:rsidR="000B021D" w:rsidRPr="00A9099C" w:rsidRDefault="000B021D" w:rsidP="002826D7">
      <w:pPr>
        <w:autoSpaceDE w:val="0"/>
        <w:autoSpaceDN w:val="0"/>
        <w:adjustRightInd w:val="0"/>
        <w:spacing w:after="0" w:line="240" w:lineRule="auto"/>
        <w:rPr>
          <w:rFonts w:ascii="Times New Roman" w:hAnsi="Times New Roman" w:cs="Times New Roman"/>
          <w:b/>
          <w:bCs/>
          <w:sz w:val="24"/>
          <w:szCs w:val="24"/>
          <w:lang w:val="en-US"/>
        </w:rPr>
      </w:pPr>
    </w:p>
    <w:tbl>
      <w:tblPr>
        <w:tblStyle w:val="a7"/>
        <w:tblW w:w="5000" w:type="pct"/>
        <w:tblLook w:val="04A0" w:firstRow="1" w:lastRow="0" w:firstColumn="1" w:lastColumn="0" w:noHBand="0" w:noVBand="1"/>
      </w:tblPr>
      <w:tblGrid>
        <w:gridCol w:w="1053"/>
        <w:gridCol w:w="1544"/>
        <w:gridCol w:w="324"/>
        <w:gridCol w:w="874"/>
        <w:gridCol w:w="1135"/>
        <w:gridCol w:w="1135"/>
        <w:gridCol w:w="946"/>
        <w:gridCol w:w="973"/>
        <w:gridCol w:w="1592"/>
      </w:tblGrid>
      <w:tr w:rsidR="000B021D" w:rsidRPr="000B021D" w:rsidTr="000B021D">
        <w:tc>
          <w:tcPr>
            <w:tcW w:w="550" w:type="pct"/>
            <w:vMerge w:val="restar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Categoria de produse</w:t>
            </w:r>
          </w:p>
        </w:tc>
        <w:tc>
          <w:tcPr>
            <w:tcW w:w="806" w:type="pct"/>
            <w:vMerge w:val="restar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Microorganism</w:t>
            </w:r>
          </w:p>
        </w:tc>
        <w:tc>
          <w:tcPr>
            <w:tcW w:w="626" w:type="pct"/>
            <w:gridSpan w:val="2"/>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Plan de prelevare probe</w:t>
            </w:r>
          </w:p>
        </w:tc>
        <w:tc>
          <w:tcPr>
            <w:tcW w:w="1185" w:type="pct"/>
            <w:gridSpan w:val="2"/>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Limite</w:t>
            </w:r>
          </w:p>
        </w:tc>
        <w:tc>
          <w:tcPr>
            <w:tcW w:w="494" w:type="pct"/>
            <w:vMerge w:val="restar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Metoda analitică de referință</w:t>
            </w:r>
          </w:p>
        </w:tc>
        <w:tc>
          <w:tcPr>
            <w:tcW w:w="508" w:type="pct"/>
            <w:vMerge w:val="restar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Etapa căreia i se aplică criteriul</w:t>
            </w:r>
          </w:p>
        </w:tc>
        <w:tc>
          <w:tcPr>
            <w:tcW w:w="831" w:type="pct"/>
            <w:vMerge w:val="restart"/>
          </w:tcPr>
          <w:p w:rsidR="000B021D" w:rsidRPr="000B021D" w:rsidRDefault="000B021D" w:rsidP="000B021D">
            <w:pPr>
              <w:jc w:val="both"/>
              <w:rPr>
                <w:rFonts w:ascii="Times New Roman" w:hAnsi="Times New Roman" w:cs="Times New Roman"/>
                <w:bCs/>
                <w:sz w:val="24"/>
                <w:szCs w:val="24"/>
                <w:lang w:val="en-US"/>
              </w:rPr>
            </w:pPr>
            <w:r>
              <w:rPr>
                <w:rFonts w:ascii="Times New Roman" w:hAnsi="Times New Roman" w:cs="Times New Roman"/>
                <w:bCs/>
                <w:sz w:val="24"/>
                <w:szCs w:val="24"/>
                <w:lang w:val="en-US"/>
              </w:rPr>
              <w:t>Acțiune în cazul rezultatelor nesatisfăcătoare</w:t>
            </w:r>
          </w:p>
        </w:tc>
      </w:tr>
      <w:tr w:rsidR="000B021D" w:rsidRPr="000B021D" w:rsidTr="000B021D">
        <w:tc>
          <w:tcPr>
            <w:tcW w:w="550" w:type="pct"/>
            <w:vMerge/>
          </w:tcPr>
          <w:p w:rsidR="000B021D" w:rsidRPr="000B021D" w:rsidRDefault="000B021D" w:rsidP="000B021D">
            <w:pPr>
              <w:spacing w:after="200" w:line="276" w:lineRule="auto"/>
              <w:jc w:val="both"/>
              <w:rPr>
                <w:rFonts w:ascii="Times New Roman" w:hAnsi="Times New Roman" w:cs="Times New Roman"/>
                <w:bCs/>
                <w:sz w:val="24"/>
                <w:szCs w:val="24"/>
                <w:lang w:val="en-US"/>
              </w:rPr>
            </w:pPr>
          </w:p>
        </w:tc>
        <w:tc>
          <w:tcPr>
            <w:tcW w:w="806" w:type="pct"/>
            <w:vMerge/>
          </w:tcPr>
          <w:p w:rsidR="000B021D" w:rsidRPr="000B021D" w:rsidRDefault="000B021D" w:rsidP="000B021D">
            <w:pPr>
              <w:spacing w:after="200" w:line="276" w:lineRule="auto"/>
              <w:jc w:val="both"/>
              <w:rPr>
                <w:rFonts w:ascii="Times New Roman" w:hAnsi="Times New Roman" w:cs="Times New Roman"/>
                <w:bCs/>
                <w:sz w:val="24"/>
                <w:szCs w:val="24"/>
                <w:lang w:val="en-US"/>
              </w:rPr>
            </w:pPr>
          </w:p>
        </w:tc>
        <w:tc>
          <w:tcPr>
            <w:tcW w:w="169" w:type="pc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n</w:t>
            </w:r>
          </w:p>
        </w:tc>
        <w:tc>
          <w:tcPr>
            <w:tcW w:w="456" w:type="pc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c</w:t>
            </w:r>
          </w:p>
        </w:tc>
        <w:tc>
          <w:tcPr>
            <w:tcW w:w="593" w:type="pc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n</w:t>
            </w:r>
          </w:p>
        </w:tc>
        <w:tc>
          <w:tcPr>
            <w:tcW w:w="593" w:type="pct"/>
            <w:vAlign w:val="center"/>
          </w:tcPr>
          <w:p w:rsidR="000B021D" w:rsidRPr="000B021D" w:rsidRDefault="000B021D" w:rsidP="000B021D">
            <w:pPr>
              <w:spacing w:after="200" w:line="276" w:lineRule="auto"/>
              <w:jc w:val="both"/>
              <w:rPr>
                <w:rFonts w:ascii="Times New Roman" w:hAnsi="Times New Roman" w:cs="Times New Roman"/>
                <w:bCs/>
                <w:sz w:val="24"/>
                <w:szCs w:val="24"/>
                <w:lang w:val="en-US"/>
              </w:rPr>
            </w:pPr>
            <w:r w:rsidRPr="000B021D">
              <w:rPr>
                <w:rFonts w:ascii="Times New Roman" w:hAnsi="Times New Roman" w:cs="Times New Roman"/>
                <w:bCs/>
                <w:sz w:val="24"/>
                <w:szCs w:val="24"/>
                <w:lang w:val="en-US"/>
              </w:rPr>
              <w:t>M</w:t>
            </w:r>
          </w:p>
        </w:tc>
        <w:tc>
          <w:tcPr>
            <w:tcW w:w="494" w:type="pct"/>
            <w:vMerge/>
          </w:tcPr>
          <w:p w:rsidR="000B021D" w:rsidRPr="000B021D" w:rsidRDefault="000B021D" w:rsidP="000B021D">
            <w:pPr>
              <w:spacing w:after="200" w:line="276" w:lineRule="auto"/>
              <w:jc w:val="both"/>
              <w:rPr>
                <w:rFonts w:ascii="Times New Roman" w:hAnsi="Times New Roman" w:cs="Times New Roman"/>
                <w:bCs/>
                <w:sz w:val="24"/>
                <w:szCs w:val="24"/>
                <w:lang w:val="en-US"/>
              </w:rPr>
            </w:pPr>
          </w:p>
        </w:tc>
        <w:tc>
          <w:tcPr>
            <w:tcW w:w="508" w:type="pct"/>
            <w:vMerge/>
          </w:tcPr>
          <w:p w:rsidR="000B021D" w:rsidRPr="000B021D" w:rsidRDefault="000B021D" w:rsidP="000B021D">
            <w:pPr>
              <w:spacing w:after="200" w:line="276" w:lineRule="auto"/>
              <w:jc w:val="both"/>
              <w:rPr>
                <w:rFonts w:ascii="Times New Roman" w:hAnsi="Times New Roman" w:cs="Times New Roman"/>
                <w:bCs/>
                <w:sz w:val="24"/>
                <w:szCs w:val="24"/>
                <w:lang w:val="en-US"/>
              </w:rPr>
            </w:pPr>
          </w:p>
        </w:tc>
        <w:tc>
          <w:tcPr>
            <w:tcW w:w="831" w:type="pct"/>
            <w:vMerge/>
          </w:tcPr>
          <w:p w:rsidR="000B021D" w:rsidRPr="000B021D" w:rsidRDefault="000B021D" w:rsidP="000B021D">
            <w:pPr>
              <w:jc w:val="both"/>
              <w:rPr>
                <w:rFonts w:ascii="Times New Roman" w:hAnsi="Times New Roman" w:cs="Times New Roman"/>
                <w:bCs/>
                <w:sz w:val="24"/>
                <w:szCs w:val="24"/>
                <w:lang w:val="en-US"/>
              </w:rPr>
            </w:pPr>
          </w:p>
        </w:tc>
      </w:tr>
      <w:tr w:rsidR="000B021D" w:rsidRPr="000B021D" w:rsidTr="000B021D">
        <w:tc>
          <w:tcPr>
            <w:tcW w:w="550" w:type="pct"/>
          </w:tcPr>
          <w:p w:rsidR="000B021D" w:rsidRPr="000B021D" w:rsidRDefault="000B021D" w:rsidP="000B021D">
            <w:pPr>
              <w:pStyle w:val="a8"/>
              <w:rPr>
                <w:rFonts w:eastAsia="Arial Unicode MS"/>
                <w:color w:val="000000"/>
                <w:sz w:val="20"/>
                <w:szCs w:val="20"/>
              </w:rPr>
            </w:pPr>
            <w:r w:rsidRPr="000B021D">
              <w:rPr>
                <w:rFonts w:eastAsia="Arial Unicode MS"/>
                <w:color w:val="000000"/>
                <w:sz w:val="20"/>
                <w:szCs w:val="20"/>
              </w:rPr>
              <w:t>Carcase de pui de carne și de curcani</w:t>
            </w:r>
          </w:p>
        </w:tc>
        <w:tc>
          <w:tcPr>
            <w:tcW w:w="806" w:type="pct"/>
          </w:tcPr>
          <w:p w:rsidR="000B021D" w:rsidRPr="000B021D" w:rsidRDefault="000B021D">
            <w:pPr>
              <w:pStyle w:val="a8"/>
              <w:jc w:val="both"/>
              <w:rPr>
                <w:rFonts w:eastAsia="Arial Unicode MS"/>
                <w:color w:val="000000"/>
                <w:sz w:val="20"/>
                <w:szCs w:val="20"/>
              </w:rPr>
            </w:pPr>
            <w:r w:rsidRPr="000B021D">
              <w:rPr>
                <w:rFonts w:eastAsia="Arial Unicode MS"/>
                <w:i/>
                <w:iCs/>
                <w:color w:val="000000"/>
                <w:sz w:val="20"/>
                <w:szCs w:val="20"/>
              </w:rPr>
              <w:t>Salmonella</w:t>
            </w:r>
            <w:r>
              <w:rPr>
                <w:rFonts w:eastAsia="Arial Unicode MS"/>
                <w:i/>
                <w:iCs/>
                <w:color w:val="000000"/>
                <w:sz w:val="20"/>
                <w:szCs w:val="20"/>
              </w:rPr>
              <w:t xml:space="preserve"> </w:t>
            </w:r>
            <w:r w:rsidRPr="000B021D">
              <w:rPr>
                <w:rFonts w:eastAsia="Arial Unicode MS"/>
                <w:color w:val="000000"/>
                <w:sz w:val="20"/>
                <w:szCs w:val="20"/>
              </w:rPr>
              <w:t>spp.</w:t>
            </w:r>
          </w:p>
        </w:tc>
        <w:tc>
          <w:tcPr>
            <w:tcW w:w="169"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5</w:t>
            </w:r>
          </w:p>
        </w:tc>
        <w:tc>
          <w:tcPr>
            <w:tcW w:w="456" w:type="pct"/>
          </w:tcPr>
          <w:p w:rsidR="000B021D" w:rsidRPr="000B021D" w:rsidRDefault="000B021D">
            <w:pPr>
              <w:pStyle w:val="a8"/>
              <w:rPr>
                <w:rFonts w:eastAsia="Arial Unicode MS"/>
                <w:color w:val="000000"/>
                <w:sz w:val="20"/>
                <w:szCs w:val="20"/>
              </w:rPr>
            </w:pPr>
            <w:r>
              <w:rPr>
                <w:rFonts w:eastAsia="Arial Unicode MS"/>
                <w:color w:val="000000"/>
                <w:sz w:val="20"/>
                <w:szCs w:val="20"/>
              </w:rPr>
              <w:t>7</w:t>
            </w:r>
          </w:p>
          <w:p w:rsidR="000B021D" w:rsidRPr="000B021D" w:rsidRDefault="000B021D">
            <w:pPr>
              <w:pStyle w:val="a8"/>
              <w:rPr>
                <w:rFonts w:eastAsia="Arial Unicode MS"/>
                <w:color w:val="000000"/>
                <w:sz w:val="20"/>
                <w:szCs w:val="20"/>
              </w:rPr>
            </w:pPr>
            <w:r w:rsidRPr="000B021D">
              <w:rPr>
                <w:rFonts w:eastAsia="Arial Unicode MS"/>
                <w:color w:val="000000"/>
                <w:sz w:val="20"/>
                <w:szCs w:val="20"/>
              </w:rPr>
              <w:t>Începând cu 1.1.2012 c = 5 pentru puii de carne</w:t>
            </w:r>
          </w:p>
          <w:p w:rsidR="000B021D" w:rsidRPr="000B021D" w:rsidRDefault="000B021D">
            <w:pPr>
              <w:pStyle w:val="a8"/>
              <w:rPr>
                <w:rFonts w:eastAsia="Arial Unicode MS"/>
                <w:color w:val="000000"/>
                <w:sz w:val="20"/>
                <w:szCs w:val="20"/>
              </w:rPr>
            </w:pPr>
            <w:r w:rsidRPr="000B021D">
              <w:rPr>
                <w:rFonts w:eastAsia="Arial Unicode MS"/>
                <w:color w:val="000000"/>
                <w:sz w:val="20"/>
                <w:szCs w:val="20"/>
              </w:rPr>
              <w:t>Începând cu 1.1.2013 c = 5 pentru curcani</w:t>
            </w:r>
          </w:p>
        </w:tc>
        <w:tc>
          <w:tcPr>
            <w:tcW w:w="1185" w:type="pct"/>
            <w:gridSpan w:val="2"/>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Absența în 25 g dintr-o probă grupată de piele de pe gât</w:t>
            </w:r>
          </w:p>
        </w:tc>
        <w:tc>
          <w:tcPr>
            <w:tcW w:w="494" w:type="pct"/>
          </w:tcPr>
          <w:p w:rsidR="000B021D" w:rsidRPr="000B021D" w:rsidRDefault="000B021D" w:rsidP="00300D9C">
            <w:pPr>
              <w:pStyle w:val="a8"/>
              <w:jc w:val="both"/>
              <w:rPr>
                <w:rFonts w:eastAsia="Arial Unicode MS"/>
                <w:color w:val="000000"/>
                <w:sz w:val="20"/>
                <w:szCs w:val="20"/>
              </w:rPr>
            </w:pPr>
            <w:r w:rsidRPr="000B021D">
              <w:rPr>
                <w:rFonts w:eastAsia="Arial Unicode MS"/>
                <w:color w:val="000000"/>
                <w:sz w:val="20"/>
                <w:szCs w:val="20"/>
              </w:rPr>
              <w:t>EN/ISO 6579 (pentru detecție)</w:t>
            </w:r>
          </w:p>
        </w:tc>
        <w:tc>
          <w:tcPr>
            <w:tcW w:w="508" w:type="pct"/>
          </w:tcPr>
          <w:p w:rsidR="000B021D" w:rsidRPr="000B021D" w:rsidRDefault="000B021D" w:rsidP="00300D9C">
            <w:pPr>
              <w:pStyle w:val="a8"/>
              <w:jc w:val="both"/>
              <w:rPr>
                <w:rFonts w:eastAsia="Arial Unicode MS"/>
                <w:color w:val="000000"/>
                <w:sz w:val="20"/>
                <w:szCs w:val="20"/>
              </w:rPr>
            </w:pPr>
            <w:r w:rsidRPr="000B021D">
              <w:rPr>
                <w:rFonts w:eastAsia="Arial Unicode MS"/>
                <w:color w:val="000000"/>
                <w:sz w:val="20"/>
                <w:szCs w:val="20"/>
              </w:rPr>
              <w:t>Carcase după refrigerare</w:t>
            </w:r>
          </w:p>
        </w:tc>
        <w:tc>
          <w:tcPr>
            <w:tcW w:w="831" w:type="pct"/>
          </w:tcPr>
          <w:p w:rsidR="000B021D" w:rsidRPr="000B021D" w:rsidRDefault="000B021D" w:rsidP="00300D9C">
            <w:pPr>
              <w:pStyle w:val="a8"/>
              <w:jc w:val="both"/>
              <w:rPr>
                <w:rFonts w:eastAsia="Arial Unicode MS"/>
                <w:color w:val="000000"/>
                <w:sz w:val="20"/>
                <w:szCs w:val="20"/>
              </w:rPr>
            </w:pPr>
            <w:r w:rsidRPr="000B021D">
              <w:rPr>
                <w:rFonts w:eastAsia="Arial Unicode MS"/>
                <w:color w:val="000000"/>
                <w:sz w:val="20"/>
                <w:szCs w:val="20"/>
              </w:rPr>
              <w:t>Ameliorarea igienei la sacrificare și revizuirea controalelor de procedură, a originii animalelor și a măsurilor de biosecuritate în exploatațiile de origine</w:t>
            </w:r>
          </w:p>
        </w:tc>
      </w:tr>
      <w:tr w:rsidR="000B021D" w:rsidRPr="000B021D" w:rsidTr="000B021D">
        <w:tc>
          <w:tcPr>
            <w:tcW w:w="550" w:type="pct"/>
            <w:vMerge w:val="restart"/>
          </w:tcPr>
          <w:p w:rsidR="000B021D" w:rsidRPr="000B021D" w:rsidRDefault="000B021D" w:rsidP="000B021D">
            <w:pPr>
              <w:pStyle w:val="a8"/>
              <w:rPr>
                <w:rFonts w:eastAsia="Arial Unicode MS"/>
                <w:color w:val="000000"/>
                <w:sz w:val="20"/>
                <w:szCs w:val="20"/>
              </w:rPr>
            </w:pPr>
            <w:r w:rsidRPr="000B021D">
              <w:rPr>
                <w:rFonts w:eastAsia="Arial Unicode MS"/>
                <w:color w:val="000000"/>
                <w:sz w:val="20"/>
                <w:szCs w:val="20"/>
              </w:rPr>
              <w:t> Carne tocată</w:t>
            </w:r>
          </w:p>
        </w:tc>
        <w:tc>
          <w:tcPr>
            <w:tcW w:w="806"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Număr de colonii aerobe </w:t>
            </w:r>
          </w:p>
        </w:tc>
        <w:tc>
          <w:tcPr>
            <w:tcW w:w="169"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5</w:t>
            </w:r>
          </w:p>
        </w:tc>
        <w:tc>
          <w:tcPr>
            <w:tcW w:w="456"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2</w:t>
            </w:r>
          </w:p>
        </w:tc>
        <w:tc>
          <w:tcPr>
            <w:tcW w:w="593"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5 × 105ufc/g</w:t>
            </w:r>
          </w:p>
        </w:tc>
        <w:tc>
          <w:tcPr>
            <w:tcW w:w="593"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5 × 106ufc/g</w:t>
            </w:r>
          </w:p>
        </w:tc>
        <w:tc>
          <w:tcPr>
            <w:tcW w:w="494"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ISO 4833</w:t>
            </w:r>
          </w:p>
        </w:tc>
        <w:tc>
          <w:tcPr>
            <w:tcW w:w="508"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Sfârșitul procesului de fabricație</w:t>
            </w:r>
          </w:p>
        </w:tc>
        <w:tc>
          <w:tcPr>
            <w:tcW w:w="831"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Ameliorarea igienei producției și ameliorarea selecției și/sau a originii materiilor prime</w:t>
            </w:r>
          </w:p>
        </w:tc>
      </w:tr>
      <w:tr w:rsidR="000B021D" w:rsidRPr="000B021D" w:rsidTr="000B021D">
        <w:tc>
          <w:tcPr>
            <w:tcW w:w="550" w:type="pct"/>
            <w:vMerge/>
            <w:vAlign w:val="center"/>
          </w:tcPr>
          <w:p w:rsidR="000B021D" w:rsidRPr="000B021D" w:rsidRDefault="000B021D">
            <w:pPr>
              <w:rPr>
                <w:rFonts w:ascii="Times New Roman" w:eastAsia="Arial Unicode MS" w:hAnsi="Times New Roman" w:cs="Times New Roman"/>
                <w:color w:val="000000"/>
                <w:sz w:val="20"/>
                <w:szCs w:val="20"/>
              </w:rPr>
            </w:pPr>
          </w:p>
        </w:tc>
        <w:tc>
          <w:tcPr>
            <w:tcW w:w="806" w:type="pct"/>
          </w:tcPr>
          <w:p w:rsidR="000B021D" w:rsidRPr="000B021D" w:rsidRDefault="000B021D">
            <w:pPr>
              <w:pStyle w:val="a8"/>
              <w:rPr>
                <w:rFonts w:eastAsia="Arial Unicode MS"/>
                <w:color w:val="000000"/>
                <w:sz w:val="20"/>
                <w:szCs w:val="20"/>
              </w:rPr>
            </w:pPr>
            <w:r w:rsidRPr="000B021D">
              <w:rPr>
                <w:rFonts w:eastAsia="Arial Unicode MS"/>
                <w:i/>
                <w:iCs/>
                <w:color w:val="000000"/>
                <w:sz w:val="20"/>
                <w:szCs w:val="20"/>
              </w:rPr>
              <w:t>E. coli</w:t>
            </w:r>
          </w:p>
        </w:tc>
        <w:tc>
          <w:tcPr>
            <w:tcW w:w="169"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5</w:t>
            </w:r>
          </w:p>
        </w:tc>
        <w:tc>
          <w:tcPr>
            <w:tcW w:w="456"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2</w:t>
            </w:r>
          </w:p>
        </w:tc>
        <w:tc>
          <w:tcPr>
            <w:tcW w:w="593"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50 ufc/g</w:t>
            </w:r>
          </w:p>
        </w:tc>
        <w:tc>
          <w:tcPr>
            <w:tcW w:w="593"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500 ufc/g</w:t>
            </w:r>
          </w:p>
        </w:tc>
        <w:tc>
          <w:tcPr>
            <w:tcW w:w="494"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ISO 16649-1 sau 2</w:t>
            </w:r>
          </w:p>
        </w:tc>
        <w:tc>
          <w:tcPr>
            <w:tcW w:w="508"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Sfârșitul procesului de fabricație</w:t>
            </w:r>
          </w:p>
        </w:tc>
        <w:tc>
          <w:tcPr>
            <w:tcW w:w="831" w:type="pct"/>
          </w:tcPr>
          <w:p w:rsidR="000B021D" w:rsidRPr="000B021D" w:rsidRDefault="000B021D">
            <w:pPr>
              <w:pStyle w:val="a8"/>
              <w:jc w:val="both"/>
              <w:rPr>
                <w:rFonts w:eastAsia="Arial Unicode MS"/>
                <w:color w:val="000000"/>
                <w:sz w:val="20"/>
                <w:szCs w:val="20"/>
              </w:rPr>
            </w:pPr>
            <w:r w:rsidRPr="000B021D">
              <w:rPr>
                <w:rFonts w:eastAsia="Arial Unicode MS"/>
                <w:color w:val="000000"/>
                <w:sz w:val="20"/>
                <w:szCs w:val="20"/>
              </w:rPr>
              <w:t>Ameliorarea igienei producției și ameliorarea selecției și/sau a originii materiilor prime</w:t>
            </w:r>
          </w:p>
        </w:tc>
      </w:tr>
    </w:tbl>
    <w:p w:rsidR="002826D7" w:rsidRDefault="002826D7" w:rsidP="002826D7">
      <w:pPr>
        <w:jc w:val="both"/>
        <w:rPr>
          <w:rFonts w:ascii="Times New Roman" w:hAnsi="Times New Roman" w:cs="Times New Roman"/>
          <w:sz w:val="24"/>
          <w:szCs w:val="24"/>
        </w:rPr>
      </w:pPr>
    </w:p>
    <w:p w:rsidR="000B021D" w:rsidRPr="000B021D" w:rsidRDefault="000B021D" w:rsidP="000B021D">
      <w:pPr>
        <w:jc w:val="both"/>
        <w:rPr>
          <w:rFonts w:ascii="Times New Roman" w:hAnsi="Times New Roman" w:cs="Times New Roman"/>
          <w:sz w:val="24"/>
          <w:szCs w:val="24"/>
          <w:lang w:val="en-US"/>
        </w:rPr>
      </w:pPr>
    </w:p>
    <w:p w:rsidR="000B021D" w:rsidRPr="000B021D" w:rsidRDefault="000B021D" w:rsidP="000B021D">
      <w:pPr>
        <w:jc w:val="both"/>
        <w:rPr>
          <w:rFonts w:ascii="Times New Roman" w:hAnsi="Times New Roman" w:cs="Times New Roman"/>
          <w:sz w:val="24"/>
          <w:szCs w:val="24"/>
          <w:lang w:val="en-US"/>
        </w:rPr>
      </w:pPr>
    </w:p>
    <w:p w:rsidR="00A9555E" w:rsidRDefault="00A9555E" w:rsidP="000B021D">
      <w:pPr>
        <w:jc w:val="both"/>
        <w:rPr>
          <w:rFonts w:ascii="Times New Roman" w:hAnsi="Times New Roman" w:cs="Times New Roman"/>
          <w:b/>
          <w:bCs/>
          <w:sz w:val="24"/>
          <w:szCs w:val="24"/>
        </w:rPr>
      </w:pPr>
      <w:r w:rsidRPr="00A9555E">
        <w:rPr>
          <w:rFonts w:ascii="Times New Roman" w:hAnsi="Times New Roman" w:cs="Times New Roman" w:hint="eastAsia"/>
          <w:b/>
          <w:bCs/>
          <w:sz w:val="24"/>
          <w:szCs w:val="24"/>
        </w:rPr>
        <w:t>Reguli de prelevare pentru carcasele de pasăre și pentru carnea proaspătă de pasăre</w:t>
      </w:r>
    </w:p>
    <w:p w:rsidR="000B021D" w:rsidRPr="000B021D" w:rsidRDefault="000B021D" w:rsidP="000B021D">
      <w:pPr>
        <w:jc w:val="both"/>
        <w:rPr>
          <w:rFonts w:ascii="Times New Roman" w:hAnsi="Times New Roman" w:cs="Times New Roman"/>
          <w:sz w:val="24"/>
          <w:szCs w:val="24"/>
          <w:lang w:val="en-US"/>
        </w:rPr>
      </w:pPr>
      <w:r w:rsidRPr="000B021D">
        <w:rPr>
          <w:rFonts w:ascii="Times New Roman" w:hAnsi="Times New Roman" w:cs="Times New Roman"/>
          <w:sz w:val="24"/>
          <w:szCs w:val="24"/>
          <w:lang w:val="en-US"/>
        </w:rPr>
        <w:lastRenderedPageBreak/>
        <w:t xml:space="preserve">Abatoarele prelevează carcase întregi de păsări cu pielea de pe gât pentru analize de detectare a salmonelei. Unitățile de tranșare și prelucrare, altele decât cele din vecinătatea unui abator care tranșează și prelucrează numai carnea primită de la acest abator, prelevează, de asemenea, eșantioane pentru analize de detectare a salmonelei. În cursul acestui proces, ele acordă prioritate, în limita posibilităților, carcaselor întregi de pasăre cu pielea de pe gât, dar trebuie să se asigure că sunt analizate și bucăți de pui cu piele și/sau bucăți de pui fără piele ori cu foarte puține porțiuni cu piele, iar această alegere trebuie făcută pe baza evaluării riscurilor. </w:t>
      </w:r>
    </w:p>
    <w:p w:rsidR="000B021D" w:rsidRPr="000B021D" w:rsidRDefault="000B021D" w:rsidP="000B021D">
      <w:pPr>
        <w:jc w:val="both"/>
        <w:rPr>
          <w:rFonts w:ascii="Times New Roman" w:hAnsi="Times New Roman" w:cs="Times New Roman"/>
          <w:sz w:val="24"/>
          <w:szCs w:val="24"/>
          <w:lang w:val="en-US"/>
        </w:rPr>
      </w:pPr>
      <w:r w:rsidRPr="000B021D">
        <w:rPr>
          <w:rFonts w:ascii="Times New Roman" w:hAnsi="Times New Roman" w:cs="Times New Roman"/>
          <w:sz w:val="24"/>
          <w:szCs w:val="24"/>
          <w:lang w:val="en-US"/>
        </w:rPr>
        <w:t xml:space="preserve">Abatoarele trebuie să includă în planurile lor de prelevare carcase de pasăre provenite de la efective cu un statut necunoscut în privința salmonelei sau cu un statut pozitiv pentru </w:t>
      </w:r>
      <w:r w:rsidRPr="000B021D">
        <w:rPr>
          <w:rFonts w:ascii="Times New Roman" w:hAnsi="Times New Roman" w:cs="Times New Roman"/>
          <w:i/>
          <w:iCs/>
          <w:sz w:val="24"/>
          <w:szCs w:val="24"/>
          <w:lang w:val="en-US"/>
        </w:rPr>
        <w:t xml:space="preserve">Salmonella enteritidis </w:t>
      </w:r>
      <w:r w:rsidRPr="000B021D">
        <w:rPr>
          <w:rFonts w:ascii="Times New Roman" w:hAnsi="Times New Roman" w:cs="Times New Roman"/>
          <w:sz w:val="24"/>
          <w:szCs w:val="24"/>
          <w:lang w:val="en-US"/>
        </w:rPr>
        <w:t xml:space="preserve">sau </w:t>
      </w:r>
      <w:r w:rsidRPr="000B021D">
        <w:rPr>
          <w:rFonts w:ascii="Times New Roman" w:hAnsi="Times New Roman" w:cs="Times New Roman"/>
          <w:i/>
          <w:iCs/>
          <w:sz w:val="24"/>
          <w:szCs w:val="24"/>
          <w:lang w:val="en-US"/>
        </w:rPr>
        <w:t>Salmonella typhimurium</w:t>
      </w:r>
      <w:r w:rsidRPr="000B021D">
        <w:rPr>
          <w:rFonts w:ascii="Times New Roman" w:hAnsi="Times New Roman" w:cs="Times New Roman"/>
          <w:sz w:val="24"/>
          <w:szCs w:val="24"/>
          <w:lang w:val="en-US"/>
        </w:rPr>
        <w:t xml:space="preserve">. </w:t>
      </w:r>
    </w:p>
    <w:p w:rsidR="000B021D" w:rsidRPr="000B021D" w:rsidRDefault="000B021D" w:rsidP="000B021D">
      <w:pPr>
        <w:jc w:val="both"/>
        <w:rPr>
          <w:rFonts w:ascii="Times New Roman" w:hAnsi="Times New Roman" w:cs="Times New Roman"/>
          <w:sz w:val="24"/>
          <w:szCs w:val="24"/>
          <w:lang w:val="en-US"/>
        </w:rPr>
      </w:pPr>
      <w:r w:rsidRPr="000B021D">
        <w:rPr>
          <w:rFonts w:ascii="Times New Roman" w:hAnsi="Times New Roman" w:cs="Times New Roman"/>
          <w:sz w:val="24"/>
          <w:szCs w:val="24"/>
          <w:lang w:val="en-US"/>
        </w:rPr>
        <w:t xml:space="preserve">În cazul în care se efectuează teste pentru verificarea respectării criteriului de igienă, în ceea ce privește salmonela din carcasele de pasăre în abatoare, trebuie prelevată în mod aleatoriu piele de pe gât de la cel puțin 15 carcase de pasăre după răcirea lor în cursul fiecărei sesiuni de prelevare. Se prelevează de la fiecare carcasă de pasăre o bucată de piele de pe gât de aproximativ 10 g. De fiecare dată, probele de piele de pe gât de la trei carcase de pasăre din același efectiv de origine se grupează înaintea examinării pentru a forma cinci probe finale de câte 25 g. Aceste probe se utilizează și pentru verificarea respectării criteriului de siguranță alimentară. </w:t>
      </w:r>
    </w:p>
    <w:p w:rsidR="000B021D" w:rsidRDefault="000B021D" w:rsidP="000B021D">
      <w:pPr>
        <w:jc w:val="both"/>
        <w:rPr>
          <w:rFonts w:ascii="Times New Roman" w:hAnsi="Times New Roman" w:cs="Times New Roman"/>
          <w:sz w:val="24"/>
          <w:szCs w:val="24"/>
          <w:lang w:val="en-US"/>
        </w:rPr>
      </w:pPr>
      <w:r w:rsidRPr="000B021D">
        <w:rPr>
          <w:rFonts w:ascii="Times New Roman" w:hAnsi="Times New Roman" w:cs="Times New Roman"/>
          <w:sz w:val="24"/>
          <w:szCs w:val="24"/>
          <w:lang w:val="en-US"/>
        </w:rPr>
        <w:t>În cazul analizelor pentru detectarea salmonelei efectuate pe carnea proaspătă de pasăre alta decât carcasele de păsări, se prelevează cinci probe de cel puțin 25 g din același lot. Proba prelevată din bucăți de pui cu piele trebuie să conțină piele și o tranșă fină de mușchi superficial în cazul în care cantitatea de piele nu este suficientă pentru a forma un eșantion. Proba prelevată din bucăți de pui fără piele sau doar cu o cantitate redusă de piele trebuie să conțină una sau mai multe tranșe fine de mușchi superficial în plus față de orice piele prezentă, pentru a obține un eșantion suficient. Tranșele de carne se prelevează astfel încât să se includă o suprafață cât mai mare a cărnii.</w:t>
      </w:r>
    </w:p>
    <w:p w:rsidR="00A9555E" w:rsidRPr="00A9555E" w:rsidRDefault="00A9555E" w:rsidP="00A9555E">
      <w:pPr>
        <w:jc w:val="both"/>
        <w:rPr>
          <w:rFonts w:ascii="Times New Roman" w:hAnsi="Times New Roman" w:cs="Times New Roman"/>
          <w:b/>
          <w:bCs/>
          <w:sz w:val="24"/>
          <w:szCs w:val="24"/>
          <w:lang w:val="en-US"/>
        </w:rPr>
      </w:pPr>
      <w:r w:rsidRPr="00A9555E">
        <w:rPr>
          <w:rFonts w:ascii="Times New Roman" w:hAnsi="Times New Roman" w:cs="Times New Roman" w:hint="eastAsia"/>
          <w:b/>
          <w:bCs/>
          <w:sz w:val="24"/>
          <w:szCs w:val="24"/>
          <w:lang w:val="en-US"/>
        </w:rPr>
        <w:t>Frecvențele prelevării de probe pentru carcase, carne tocată, preparate din carne, carne separată mecanic și carne proaspătă de pasăre</w:t>
      </w:r>
    </w:p>
    <w:p w:rsidR="00A9555E" w:rsidRPr="00A9555E" w:rsidRDefault="00A9555E" w:rsidP="00A9555E">
      <w:pPr>
        <w:jc w:val="both"/>
        <w:rPr>
          <w:rFonts w:ascii="Times New Roman" w:hAnsi="Times New Roman" w:cs="Times New Roman"/>
          <w:sz w:val="24"/>
          <w:szCs w:val="24"/>
          <w:lang w:val="en-US"/>
        </w:rPr>
      </w:pPr>
      <w:r w:rsidRPr="00A9555E">
        <w:rPr>
          <w:rFonts w:ascii="Times New Roman" w:hAnsi="Times New Roman" w:cs="Times New Roman" w:hint="eastAsia"/>
          <w:sz w:val="24"/>
          <w:szCs w:val="24"/>
          <w:lang w:val="en-US"/>
        </w:rPr>
        <w:t>Operatorii din sectorul alimentar al abatoarelor sau unităților care produc carne tocată, preparate din carne, carne separată mecanic sau carne proaspătă de pasăre prelevează probe pentru analizele microbiologice cel puțin o dată pe săptămână. Ziua</w:t>
      </w:r>
      <w:r>
        <w:rPr>
          <w:rFonts w:ascii="Times New Roman" w:hAnsi="Times New Roman" w:cs="Times New Roman"/>
          <w:sz w:val="24"/>
          <w:szCs w:val="24"/>
          <w:lang w:val="en-US"/>
        </w:rPr>
        <w:t xml:space="preserve"> </w:t>
      </w:r>
      <w:r w:rsidRPr="00A9555E">
        <w:rPr>
          <w:rFonts w:ascii="Times New Roman" w:hAnsi="Times New Roman" w:cs="Times New Roman" w:hint="eastAsia"/>
          <w:sz w:val="24"/>
          <w:szCs w:val="24"/>
          <w:lang w:val="en-US"/>
        </w:rPr>
        <w:t xml:space="preserve"> prelevării de probe se modifică în fiecare săptămână, astfel încât să se preleveze probe în fiecare zi a săptămânii.</w:t>
      </w:r>
    </w:p>
    <w:p w:rsidR="00A9555E" w:rsidRPr="00A9555E" w:rsidRDefault="00A9555E" w:rsidP="00A9555E">
      <w:pPr>
        <w:jc w:val="both"/>
        <w:rPr>
          <w:rFonts w:ascii="Times New Roman" w:hAnsi="Times New Roman" w:cs="Times New Roman"/>
          <w:sz w:val="24"/>
          <w:szCs w:val="24"/>
          <w:lang w:val="en-US"/>
        </w:rPr>
      </w:pPr>
      <w:r w:rsidRPr="00A9555E">
        <w:rPr>
          <w:rFonts w:ascii="Times New Roman" w:hAnsi="Times New Roman" w:cs="Times New Roman" w:hint="eastAsia"/>
          <w:sz w:val="24"/>
          <w:szCs w:val="24"/>
          <w:lang w:val="en-US"/>
        </w:rPr>
        <w:t>În cazul prelevării de probe din carne tocată și preparate din carne pentru analizele referitoare la </w:t>
      </w:r>
      <w:r w:rsidRPr="00A9555E">
        <w:rPr>
          <w:rFonts w:ascii="Times New Roman" w:hAnsi="Times New Roman" w:cs="Times New Roman" w:hint="eastAsia"/>
          <w:i/>
          <w:iCs/>
          <w:sz w:val="24"/>
          <w:szCs w:val="24"/>
          <w:lang w:val="en-US"/>
        </w:rPr>
        <w:t>E. coli</w:t>
      </w:r>
      <w:r w:rsidRPr="00A9555E">
        <w:rPr>
          <w:rFonts w:ascii="Times New Roman" w:hAnsi="Times New Roman" w:cs="Times New Roman" w:hint="eastAsia"/>
          <w:sz w:val="24"/>
          <w:szCs w:val="24"/>
          <w:lang w:val="en-US"/>
        </w:rPr>
        <w:t> și la numărul de colonii aerobe și al prelevării de probe din carcase pentru analizele referitoare la enterobacterii și la numărul de colonii aerobe, frecvența poate fi redusă la o dată la două săptămâni, în cazul în care se obțin rezultate satisfăcătoare timp de șase săptămâni consecutive.</w:t>
      </w:r>
    </w:p>
    <w:p w:rsidR="00A9555E" w:rsidRPr="00A9555E" w:rsidRDefault="00A9555E" w:rsidP="00A9555E">
      <w:pPr>
        <w:jc w:val="both"/>
        <w:rPr>
          <w:rFonts w:ascii="Times New Roman" w:hAnsi="Times New Roman" w:cs="Times New Roman"/>
          <w:sz w:val="24"/>
          <w:szCs w:val="24"/>
          <w:lang w:val="en-US"/>
        </w:rPr>
      </w:pPr>
      <w:r w:rsidRPr="00A9555E">
        <w:rPr>
          <w:rFonts w:ascii="Times New Roman" w:hAnsi="Times New Roman" w:cs="Times New Roman" w:hint="eastAsia"/>
          <w:sz w:val="24"/>
          <w:szCs w:val="24"/>
          <w:lang w:val="en-US"/>
        </w:rPr>
        <w:lastRenderedPageBreak/>
        <w:t>Pentru prelevarea de probe din carne tocată, preparate din carne, carcase și carne proaspătă de pasăre pentru analizele referitoare la salmonelă, frecvența poate fi redusă la o dată la două săptămâni, în cazul în care se obțin rezultate satisfăcătoare timp de 30 de săptămâni consecutive. Frecvența prelevării de probe pentru salmonelă poate fi redusă și în cazul în care există un program național sau regional de control al salmonelei, iar programul respectiv cuprinde teste care înlocuiesc prelevarea de probe descrisă mai sus. Această frecvență poate fi redusă și mai mult în cazul în care programul național sau regional de control al salmonelei demonstrează că prevalența salmonelei este scăzută la animalele cumpărate de abator.</w:t>
      </w:r>
    </w:p>
    <w:p w:rsidR="00A9555E" w:rsidRPr="00A9555E" w:rsidRDefault="00A9555E" w:rsidP="00A9555E">
      <w:pPr>
        <w:jc w:val="both"/>
        <w:rPr>
          <w:rFonts w:ascii="Times New Roman" w:hAnsi="Times New Roman" w:cs="Times New Roman"/>
          <w:sz w:val="24"/>
          <w:szCs w:val="24"/>
          <w:lang w:val="en-US"/>
        </w:rPr>
      </w:pPr>
      <w:r w:rsidRPr="00A9555E">
        <w:rPr>
          <w:rFonts w:ascii="Times New Roman" w:hAnsi="Times New Roman" w:cs="Times New Roman" w:hint="eastAsia"/>
          <w:sz w:val="24"/>
          <w:szCs w:val="24"/>
          <w:lang w:val="en-US"/>
        </w:rPr>
        <w:t>Cu toate acestea, în cazul în care acest lucru se justifică în urma unei analize a riscurilor și este autorizat în consecință de autoritatea competentă, abatoarele și unitățile mici care produc carne tocată, preparate din carne și carne proaspătă de pasăre în cantități mici pot fi scutite de obligația de a respecta aceste frecvențe de prelevare a probelor.</w:t>
      </w:r>
    </w:p>
    <w:p w:rsidR="00A9555E" w:rsidRDefault="00A9555E" w:rsidP="000B021D">
      <w:pPr>
        <w:jc w:val="both"/>
        <w:rPr>
          <w:rFonts w:ascii="Times New Roman" w:hAnsi="Times New Roman" w:cs="Times New Roman"/>
          <w:sz w:val="24"/>
          <w:szCs w:val="24"/>
        </w:rPr>
      </w:pPr>
    </w:p>
    <w:p w:rsidR="00114378" w:rsidRDefault="00114378" w:rsidP="000B021D">
      <w:pPr>
        <w:jc w:val="both"/>
        <w:rPr>
          <w:rFonts w:ascii="Times New Roman" w:hAnsi="Times New Roman" w:cs="Times New Roman"/>
          <w:sz w:val="24"/>
          <w:szCs w:val="24"/>
        </w:rPr>
      </w:pPr>
      <w:r>
        <w:rPr>
          <w:rFonts w:ascii="Times New Roman" w:hAnsi="Times New Roman" w:cs="Times New Roman"/>
          <w:sz w:val="24"/>
          <w:szCs w:val="24"/>
        </w:rPr>
        <w:t>Pregătirea corespunzătoare pentru recoltarea probelor din halele de păsări:</w:t>
      </w:r>
    </w:p>
    <w:p w:rsidR="00114378" w:rsidRPr="00114378" w:rsidRDefault="00114378" w:rsidP="00114378">
      <w:pPr>
        <w:jc w:val="both"/>
        <w:rPr>
          <w:rFonts w:ascii="Times New Roman" w:hAnsi="Times New Roman" w:cs="Times New Roman"/>
          <w:sz w:val="24"/>
          <w:szCs w:val="24"/>
        </w:rPr>
      </w:pPr>
    </w:p>
    <w:p w:rsidR="00DA3031" w:rsidRDefault="00DA3031" w:rsidP="000B021D">
      <w:pPr>
        <w:jc w:val="both"/>
        <w:rPr>
          <w:rFonts w:ascii="Times New Roman" w:hAnsi="Times New Roman" w:cs="Times New Roman"/>
          <w:sz w:val="24"/>
          <w:szCs w:val="24"/>
        </w:rPr>
      </w:pPr>
      <w:r>
        <w:rPr>
          <w:noProof/>
        </w:rPr>
        <w:drawing>
          <wp:inline distT="0" distB="0" distL="0" distR="0">
            <wp:extent cx="1617980" cy="1617980"/>
            <wp:effectExtent l="19050" t="0" r="1270" b="0"/>
            <wp:docPr id="1" name="Picture 1" descr="http://www.tscswabs.co.uk/uploads/Products/product_167/thumb_TSBSW5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scswabs.co.uk/uploads/Products/product_167/thumb_TSBSW5B.jpg"/>
                    <pic:cNvPicPr>
                      <a:picLocks noChangeAspect="1" noChangeArrowheads="1"/>
                    </pic:cNvPicPr>
                  </pic:nvPicPr>
                  <pic:blipFill>
                    <a:blip r:embed="rId8" cstate="print"/>
                    <a:srcRect/>
                    <a:stretch>
                      <a:fillRect/>
                    </a:stretch>
                  </pic:blipFill>
                  <pic:spPr bwMode="auto">
                    <a:xfrm>
                      <a:off x="0" y="0"/>
                      <a:ext cx="1617980" cy="1617980"/>
                    </a:xfrm>
                    <a:prstGeom prst="rect">
                      <a:avLst/>
                    </a:prstGeom>
                    <a:noFill/>
                    <a:ln w="9525">
                      <a:noFill/>
                      <a:miter lim="800000"/>
                      <a:headEnd/>
                      <a:tailEnd/>
                    </a:ln>
                  </pic:spPr>
                </pic:pic>
              </a:graphicData>
            </a:graphic>
          </wp:inline>
        </w:drawing>
      </w:r>
      <w:r w:rsidR="00114378" w:rsidRPr="00114378">
        <w:rPr>
          <w:rFonts w:ascii="Times New Roman" w:hAnsi="Times New Roman" w:cs="Times New Roman"/>
          <w:noProof/>
          <w:sz w:val="24"/>
          <w:szCs w:val="24"/>
        </w:rPr>
        <w:drawing>
          <wp:inline distT="0" distB="0" distL="0" distR="0">
            <wp:extent cx="1513317" cy="1614791"/>
            <wp:effectExtent l="19050" t="0" r="0" b="0"/>
            <wp:docPr id="4" name="Picture 10" descr="https://encrypted-tbn2.gstatic.com/images?q=tbn:ANd9GcRY5fZ0rrL28HUfpLXfwASdCP4i7yesD4yhX6u2aMyUpUf9fVI9Ej2r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ncrypted-tbn2.gstatic.com/images?q=tbn:ANd9GcRY5fZ0rrL28HUfpLXfwASdCP4i7yesD4yhX6u2aMyUpUf9fVI9Ej2rug"/>
                    <pic:cNvPicPr>
                      <a:picLocks noChangeAspect="1" noChangeArrowheads="1"/>
                    </pic:cNvPicPr>
                  </pic:nvPicPr>
                  <pic:blipFill>
                    <a:blip r:embed="rId9" cstate="print"/>
                    <a:srcRect/>
                    <a:stretch>
                      <a:fillRect/>
                    </a:stretch>
                  </pic:blipFill>
                  <pic:spPr bwMode="auto">
                    <a:xfrm>
                      <a:off x="0" y="0"/>
                      <a:ext cx="1525050" cy="1627311"/>
                    </a:xfrm>
                    <a:prstGeom prst="rect">
                      <a:avLst/>
                    </a:prstGeom>
                    <a:noFill/>
                    <a:ln w="9525">
                      <a:noFill/>
                      <a:miter lim="800000"/>
                      <a:headEnd/>
                      <a:tailEnd/>
                    </a:ln>
                  </pic:spPr>
                </pic:pic>
              </a:graphicData>
            </a:graphic>
          </wp:inline>
        </w:drawing>
      </w:r>
      <w:r w:rsidR="00114378" w:rsidRPr="00114378">
        <w:rPr>
          <w:rFonts w:ascii="Times New Roman" w:hAnsi="Times New Roman" w:cs="Times New Roman"/>
          <w:noProof/>
          <w:sz w:val="24"/>
          <w:szCs w:val="24"/>
        </w:rPr>
        <w:drawing>
          <wp:inline distT="0" distB="0" distL="0" distR="0">
            <wp:extent cx="1624924" cy="1606205"/>
            <wp:effectExtent l="19050" t="0" r="0" b="0"/>
            <wp:docPr id="5" name="Picture 7" descr="https://encrypted-tbn3.gstatic.com/images?q=tbn:ANd9GcQe-cNRZ1Js4x_BubgkZeH1u8FDMKFnZ0g-f_r-1e2pTjpOgAPRRTUN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3.gstatic.com/images?q=tbn:ANd9GcQe-cNRZ1Js4x_BubgkZeH1u8FDMKFnZ0g-f_r-1e2pTjpOgAPRRTUN7Q"/>
                    <pic:cNvPicPr>
                      <a:picLocks noChangeAspect="1" noChangeArrowheads="1"/>
                    </pic:cNvPicPr>
                  </pic:nvPicPr>
                  <pic:blipFill>
                    <a:blip r:embed="rId10" cstate="print"/>
                    <a:srcRect/>
                    <a:stretch>
                      <a:fillRect/>
                    </a:stretch>
                  </pic:blipFill>
                  <pic:spPr bwMode="auto">
                    <a:xfrm>
                      <a:off x="0" y="0"/>
                      <a:ext cx="1637723" cy="1618857"/>
                    </a:xfrm>
                    <a:prstGeom prst="rect">
                      <a:avLst/>
                    </a:prstGeom>
                    <a:noFill/>
                    <a:ln w="9525">
                      <a:noFill/>
                      <a:miter lim="800000"/>
                      <a:headEnd/>
                      <a:tailEnd/>
                    </a:ln>
                  </pic:spPr>
                </pic:pic>
              </a:graphicData>
            </a:graphic>
          </wp:inline>
        </w:drawing>
      </w:r>
    </w:p>
    <w:p w:rsidR="00DA3031" w:rsidRDefault="00DA3031" w:rsidP="000B021D">
      <w:pPr>
        <w:jc w:val="both"/>
        <w:rPr>
          <w:rFonts w:ascii="Times New Roman" w:hAnsi="Times New Roman" w:cs="Times New Roman"/>
          <w:sz w:val="24"/>
          <w:szCs w:val="24"/>
        </w:rPr>
      </w:pPr>
    </w:p>
    <w:p w:rsidR="00DA3031" w:rsidRDefault="00DA3031" w:rsidP="000B021D">
      <w:pPr>
        <w:jc w:val="both"/>
        <w:rPr>
          <w:rFonts w:ascii="Times New Roman" w:hAnsi="Times New Roman" w:cs="Times New Roman"/>
          <w:sz w:val="24"/>
          <w:szCs w:val="24"/>
        </w:rPr>
      </w:pPr>
    </w:p>
    <w:p w:rsidR="00DA3031" w:rsidRDefault="00114378" w:rsidP="000B021D">
      <w:pPr>
        <w:jc w:val="both"/>
        <w:rPr>
          <w:rFonts w:ascii="Times New Roman" w:hAnsi="Times New Roman" w:cs="Times New Roman"/>
          <w:sz w:val="24"/>
          <w:szCs w:val="24"/>
        </w:rPr>
      </w:pPr>
      <w:r w:rsidRPr="00114378">
        <w:rPr>
          <w:rFonts w:ascii="Times New Roman" w:hAnsi="Times New Roman" w:cs="Times New Roman"/>
          <w:noProof/>
          <w:sz w:val="24"/>
          <w:szCs w:val="24"/>
        </w:rPr>
        <w:drawing>
          <wp:inline distT="0" distB="0" distL="0" distR="0">
            <wp:extent cx="2023759" cy="1324068"/>
            <wp:effectExtent l="19050" t="0" r="0" b="0"/>
            <wp:docPr id="7" name="Picture 13" descr="https://encrypted-tbn2.gstatic.com/images?q=tbn:ANd9GcQvoTuI7ZzRDvKELCvzYajeuEQKZi0XPJclBAamLVEIm6hRScmXX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2.gstatic.com/images?q=tbn:ANd9GcQvoTuI7ZzRDvKELCvzYajeuEQKZi0XPJclBAamLVEIm6hRScmXXg"/>
                    <pic:cNvPicPr>
                      <a:picLocks noChangeAspect="1" noChangeArrowheads="1"/>
                    </pic:cNvPicPr>
                  </pic:nvPicPr>
                  <pic:blipFill>
                    <a:blip r:embed="rId11" cstate="print"/>
                    <a:srcRect/>
                    <a:stretch>
                      <a:fillRect/>
                    </a:stretch>
                  </pic:blipFill>
                  <pic:spPr bwMode="auto">
                    <a:xfrm>
                      <a:off x="0" y="0"/>
                      <a:ext cx="2025000" cy="1324880"/>
                    </a:xfrm>
                    <a:prstGeom prst="rect">
                      <a:avLst/>
                    </a:prstGeom>
                    <a:noFill/>
                    <a:ln w="9525">
                      <a:noFill/>
                      <a:miter lim="800000"/>
                      <a:headEnd/>
                      <a:tailEnd/>
                    </a:ln>
                  </pic:spPr>
                </pic:pic>
              </a:graphicData>
            </a:graphic>
          </wp:inline>
        </w:drawing>
      </w:r>
      <w:r w:rsidRPr="00114378">
        <w:rPr>
          <w:rFonts w:ascii="Times New Roman" w:hAnsi="Times New Roman" w:cs="Times New Roman"/>
          <w:noProof/>
          <w:sz w:val="24"/>
          <w:szCs w:val="24"/>
        </w:rPr>
        <w:drawing>
          <wp:inline distT="0" distB="0" distL="0" distR="0">
            <wp:extent cx="2840881" cy="1322960"/>
            <wp:effectExtent l="19050" t="0" r="0" b="0"/>
            <wp:docPr id="8" name="Picture 16" descr="http://www.solarbiologicals.com/pages/haccp/boot-swab/images/bootswab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olarbiologicals.com/pages/haccp/boot-swab/images/bootswab002.JPG"/>
                    <pic:cNvPicPr>
                      <a:picLocks noChangeAspect="1" noChangeArrowheads="1"/>
                    </pic:cNvPicPr>
                  </pic:nvPicPr>
                  <pic:blipFill>
                    <a:blip r:embed="rId12" cstate="print"/>
                    <a:srcRect/>
                    <a:stretch>
                      <a:fillRect/>
                    </a:stretch>
                  </pic:blipFill>
                  <pic:spPr bwMode="auto">
                    <a:xfrm>
                      <a:off x="0" y="0"/>
                      <a:ext cx="2845445" cy="1325085"/>
                    </a:xfrm>
                    <a:prstGeom prst="rect">
                      <a:avLst/>
                    </a:prstGeom>
                    <a:noFill/>
                    <a:ln w="9525">
                      <a:noFill/>
                      <a:miter lim="800000"/>
                      <a:headEnd/>
                      <a:tailEnd/>
                    </a:ln>
                  </pic:spPr>
                </pic:pic>
              </a:graphicData>
            </a:graphic>
          </wp:inline>
        </w:drawing>
      </w:r>
    </w:p>
    <w:p w:rsidR="00DA3031" w:rsidRDefault="00DA3031" w:rsidP="000B021D">
      <w:pPr>
        <w:jc w:val="both"/>
        <w:rPr>
          <w:rFonts w:ascii="Times New Roman" w:hAnsi="Times New Roman" w:cs="Times New Roman"/>
          <w:sz w:val="24"/>
          <w:szCs w:val="24"/>
        </w:rPr>
      </w:pPr>
    </w:p>
    <w:p w:rsidR="008E5053" w:rsidRPr="002826D7" w:rsidRDefault="008E5053" w:rsidP="000B021D">
      <w:pPr>
        <w:jc w:val="both"/>
        <w:rPr>
          <w:rFonts w:ascii="Times New Roman" w:hAnsi="Times New Roman" w:cs="Times New Roman"/>
          <w:sz w:val="24"/>
          <w:szCs w:val="24"/>
        </w:rPr>
      </w:pPr>
    </w:p>
    <w:sectPr w:rsidR="008E5053" w:rsidRPr="002826D7" w:rsidSect="007370C8">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C14" w:rsidRDefault="00F33C14" w:rsidP="002826D7">
      <w:pPr>
        <w:spacing w:after="0" w:line="240" w:lineRule="auto"/>
      </w:pPr>
      <w:r>
        <w:separator/>
      </w:r>
    </w:p>
  </w:endnote>
  <w:endnote w:type="continuationSeparator" w:id="0">
    <w:p w:rsidR="00F33C14" w:rsidRDefault="00F33C14" w:rsidP="00282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93500"/>
      <w:docPartObj>
        <w:docPartGallery w:val="Page Numbers (Bottom of Page)"/>
        <w:docPartUnique/>
      </w:docPartObj>
    </w:sdtPr>
    <w:sdtEndPr/>
    <w:sdtContent>
      <w:p w:rsidR="002826D7" w:rsidRDefault="00F33C14">
        <w:pPr>
          <w:pStyle w:val="a5"/>
          <w:jc w:val="center"/>
        </w:pPr>
        <w:r>
          <w:fldChar w:fldCharType="begin"/>
        </w:r>
        <w:r>
          <w:instrText xml:space="preserve"> PAGE   \* MERGEFORMAT </w:instrText>
        </w:r>
        <w:r>
          <w:fldChar w:fldCharType="separate"/>
        </w:r>
        <w:r w:rsidR="00E64CD3">
          <w:rPr>
            <w:noProof/>
          </w:rPr>
          <w:t>1</w:t>
        </w:r>
        <w:r>
          <w:rPr>
            <w:noProof/>
          </w:rPr>
          <w:fldChar w:fldCharType="end"/>
        </w:r>
      </w:p>
    </w:sdtContent>
  </w:sdt>
  <w:p w:rsidR="002826D7" w:rsidRDefault="002826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C14" w:rsidRDefault="00F33C14" w:rsidP="002826D7">
      <w:pPr>
        <w:spacing w:after="0" w:line="240" w:lineRule="auto"/>
      </w:pPr>
      <w:r>
        <w:separator/>
      </w:r>
    </w:p>
  </w:footnote>
  <w:footnote w:type="continuationSeparator" w:id="0">
    <w:p w:rsidR="00F33C14" w:rsidRDefault="00F33C14" w:rsidP="002826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52BF2"/>
    <w:multiLevelType w:val="hybridMultilevel"/>
    <w:tmpl w:val="AFCCC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6D7"/>
    <w:rsid w:val="00083203"/>
    <w:rsid w:val="000B021D"/>
    <w:rsid w:val="00114378"/>
    <w:rsid w:val="002235A7"/>
    <w:rsid w:val="002826D7"/>
    <w:rsid w:val="005C4166"/>
    <w:rsid w:val="007370C8"/>
    <w:rsid w:val="007658F1"/>
    <w:rsid w:val="00782BBD"/>
    <w:rsid w:val="008E5053"/>
    <w:rsid w:val="009B52A1"/>
    <w:rsid w:val="00A9555E"/>
    <w:rsid w:val="00AA0BA0"/>
    <w:rsid w:val="00B7602F"/>
    <w:rsid w:val="00BD6DF1"/>
    <w:rsid w:val="00C51861"/>
    <w:rsid w:val="00DA3031"/>
    <w:rsid w:val="00DF3B5C"/>
    <w:rsid w:val="00E64CD3"/>
    <w:rsid w:val="00F11A2D"/>
    <w:rsid w:val="00F33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826D7"/>
    <w:pPr>
      <w:tabs>
        <w:tab w:val="center" w:pos="4680"/>
        <w:tab w:val="right" w:pos="9360"/>
      </w:tabs>
      <w:spacing w:after="0" w:line="240" w:lineRule="auto"/>
    </w:pPr>
  </w:style>
  <w:style w:type="character" w:customStyle="1" w:styleId="a4">
    <w:name w:val="Верхний колонтитул Знак"/>
    <w:basedOn w:val="a0"/>
    <w:link w:val="a3"/>
    <w:uiPriority w:val="99"/>
    <w:semiHidden/>
    <w:rsid w:val="002826D7"/>
    <w:rPr>
      <w:lang w:val="ro-RO"/>
    </w:rPr>
  </w:style>
  <w:style w:type="paragraph" w:styleId="a5">
    <w:name w:val="footer"/>
    <w:basedOn w:val="a"/>
    <w:link w:val="a6"/>
    <w:uiPriority w:val="99"/>
    <w:unhideWhenUsed/>
    <w:rsid w:val="002826D7"/>
    <w:pPr>
      <w:tabs>
        <w:tab w:val="center" w:pos="4680"/>
        <w:tab w:val="right" w:pos="9360"/>
      </w:tabs>
      <w:spacing w:after="0" w:line="240" w:lineRule="auto"/>
    </w:pPr>
  </w:style>
  <w:style w:type="character" w:customStyle="1" w:styleId="a6">
    <w:name w:val="Нижний колонтитул Знак"/>
    <w:basedOn w:val="a0"/>
    <w:link w:val="a5"/>
    <w:uiPriority w:val="99"/>
    <w:rsid w:val="002826D7"/>
    <w:rPr>
      <w:lang w:val="ro-RO"/>
    </w:rPr>
  </w:style>
  <w:style w:type="table" w:styleId="a7">
    <w:name w:val="Table Grid"/>
    <w:basedOn w:val="a1"/>
    <w:uiPriority w:val="59"/>
    <w:rsid w:val="002826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unhideWhenUsed/>
    <w:rsid w:val="00AA0BA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9">
    <w:name w:val="Hyperlink"/>
    <w:basedOn w:val="a0"/>
    <w:uiPriority w:val="99"/>
    <w:semiHidden/>
    <w:unhideWhenUsed/>
    <w:rsid w:val="00AA0BA0"/>
    <w:rPr>
      <w:color w:val="0000FF"/>
      <w:u w:val="single"/>
    </w:rPr>
  </w:style>
  <w:style w:type="paragraph" w:styleId="aa">
    <w:name w:val="Balloon Text"/>
    <w:basedOn w:val="a"/>
    <w:link w:val="ab"/>
    <w:uiPriority w:val="99"/>
    <w:semiHidden/>
    <w:unhideWhenUsed/>
    <w:rsid w:val="00DA30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A3031"/>
    <w:rPr>
      <w:rFonts w:ascii="Tahoma" w:hAnsi="Tahoma" w:cs="Tahoma"/>
      <w:sz w:val="16"/>
      <w:szCs w:val="16"/>
      <w:lang w:val="ro-RO"/>
    </w:rPr>
  </w:style>
  <w:style w:type="paragraph" w:styleId="ac">
    <w:name w:val="List Paragraph"/>
    <w:basedOn w:val="a"/>
    <w:uiPriority w:val="34"/>
    <w:qFormat/>
    <w:rsid w:val="001143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826D7"/>
    <w:pPr>
      <w:tabs>
        <w:tab w:val="center" w:pos="4680"/>
        <w:tab w:val="right" w:pos="9360"/>
      </w:tabs>
      <w:spacing w:after="0" w:line="240" w:lineRule="auto"/>
    </w:pPr>
  </w:style>
  <w:style w:type="character" w:customStyle="1" w:styleId="a4">
    <w:name w:val="Верхний колонтитул Знак"/>
    <w:basedOn w:val="a0"/>
    <w:link w:val="a3"/>
    <w:uiPriority w:val="99"/>
    <w:semiHidden/>
    <w:rsid w:val="002826D7"/>
    <w:rPr>
      <w:lang w:val="ro-RO"/>
    </w:rPr>
  </w:style>
  <w:style w:type="paragraph" w:styleId="a5">
    <w:name w:val="footer"/>
    <w:basedOn w:val="a"/>
    <w:link w:val="a6"/>
    <w:uiPriority w:val="99"/>
    <w:unhideWhenUsed/>
    <w:rsid w:val="002826D7"/>
    <w:pPr>
      <w:tabs>
        <w:tab w:val="center" w:pos="4680"/>
        <w:tab w:val="right" w:pos="9360"/>
      </w:tabs>
      <w:spacing w:after="0" w:line="240" w:lineRule="auto"/>
    </w:pPr>
  </w:style>
  <w:style w:type="character" w:customStyle="1" w:styleId="a6">
    <w:name w:val="Нижний колонтитул Знак"/>
    <w:basedOn w:val="a0"/>
    <w:link w:val="a5"/>
    <w:uiPriority w:val="99"/>
    <w:rsid w:val="002826D7"/>
    <w:rPr>
      <w:lang w:val="ro-RO"/>
    </w:rPr>
  </w:style>
  <w:style w:type="table" w:styleId="a7">
    <w:name w:val="Table Grid"/>
    <w:basedOn w:val="a1"/>
    <w:uiPriority w:val="59"/>
    <w:rsid w:val="002826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unhideWhenUsed/>
    <w:rsid w:val="00AA0BA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9">
    <w:name w:val="Hyperlink"/>
    <w:basedOn w:val="a0"/>
    <w:uiPriority w:val="99"/>
    <w:semiHidden/>
    <w:unhideWhenUsed/>
    <w:rsid w:val="00AA0BA0"/>
    <w:rPr>
      <w:color w:val="0000FF"/>
      <w:u w:val="single"/>
    </w:rPr>
  </w:style>
  <w:style w:type="paragraph" w:styleId="aa">
    <w:name w:val="Balloon Text"/>
    <w:basedOn w:val="a"/>
    <w:link w:val="ab"/>
    <w:uiPriority w:val="99"/>
    <w:semiHidden/>
    <w:unhideWhenUsed/>
    <w:rsid w:val="00DA30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A3031"/>
    <w:rPr>
      <w:rFonts w:ascii="Tahoma" w:hAnsi="Tahoma" w:cs="Tahoma"/>
      <w:sz w:val="16"/>
      <w:szCs w:val="16"/>
      <w:lang w:val="ro-RO"/>
    </w:rPr>
  </w:style>
  <w:style w:type="paragraph" w:styleId="ac">
    <w:name w:val="List Paragraph"/>
    <w:basedOn w:val="a"/>
    <w:uiPriority w:val="34"/>
    <w:qFormat/>
    <w:rsid w:val="001143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1061">
      <w:bodyDiv w:val="1"/>
      <w:marLeft w:val="0"/>
      <w:marRight w:val="0"/>
      <w:marTop w:val="0"/>
      <w:marBottom w:val="0"/>
      <w:divBdr>
        <w:top w:val="none" w:sz="0" w:space="0" w:color="auto"/>
        <w:left w:val="none" w:sz="0" w:space="0" w:color="auto"/>
        <w:bottom w:val="none" w:sz="0" w:space="0" w:color="auto"/>
        <w:right w:val="none" w:sz="0" w:space="0" w:color="auto"/>
      </w:divBdr>
    </w:div>
    <w:div w:id="105661639">
      <w:bodyDiv w:val="1"/>
      <w:marLeft w:val="0"/>
      <w:marRight w:val="0"/>
      <w:marTop w:val="0"/>
      <w:marBottom w:val="0"/>
      <w:divBdr>
        <w:top w:val="none" w:sz="0" w:space="0" w:color="auto"/>
        <w:left w:val="none" w:sz="0" w:space="0" w:color="auto"/>
        <w:bottom w:val="none" w:sz="0" w:space="0" w:color="auto"/>
        <w:right w:val="none" w:sz="0" w:space="0" w:color="auto"/>
      </w:divBdr>
    </w:div>
    <w:div w:id="320700409">
      <w:bodyDiv w:val="1"/>
      <w:marLeft w:val="0"/>
      <w:marRight w:val="0"/>
      <w:marTop w:val="0"/>
      <w:marBottom w:val="0"/>
      <w:divBdr>
        <w:top w:val="none" w:sz="0" w:space="0" w:color="auto"/>
        <w:left w:val="none" w:sz="0" w:space="0" w:color="auto"/>
        <w:bottom w:val="none" w:sz="0" w:space="0" w:color="auto"/>
        <w:right w:val="none" w:sz="0" w:space="0" w:color="auto"/>
      </w:divBdr>
    </w:div>
    <w:div w:id="572082183">
      <w:bodyDiv w:val="1"/>
      <w:marLeft w:val="0"/>
      <w:marRight w:val="0"/>
      <w:marTop w:val="0"/>
      <w:marBottom w:val="0"/>
      <w:divBdr>
        <w:top w:val="none" w:sz="0" w:space="0" w:color="auto"/>
        <w:left w:val="none" w:sz="0" w:space="0" w:color="auto"/>
        <w:bottom w:val="none" w:sz="0" w:space="0" w:color="auto"/>
        <w:right w:val="none" w:sz="0" w:space="0" w:color="auto"/>
      </w:divBdr>
    </w:div>
    <w:div w:id="1130246849">
      <w:bodyDiv w:val="1"/>
      <w:marLeft w:val="0"/>
      <w:marRight w:val="0"/>
      <w:marTop w:val="0"/>
      <w:marBottom w:val="0"/>
      <w:divBdr>
        <w:top w:val="none" w:sz="0" w:space="0" w:color="auto"/>
        <w:left w:val="none" w:sz="0" w:space="0" w:color="auto"/>
        <w:bottom w:val="none" w:sz="0" w:space="0" w:color="auto"/>
        <w:right w:val="none" w:sz="0" w:space="0" w:color="auto"/>
      </w:divBdr>
    </w:div>
    <w:div w:id="1319966096">
      <w:bodyDiv w:val="1"/>
      <w:marLeft w:val="0"/>
      <w:marRight w:val="0"/>
      <w:marTop w:val="0"/>
      <w:marBottom w:val="0"/>
      <w:divBdr>
        <w:top w:val="none" w:sz="0" w:space="0" w:color="auto"/>
        <w:left w:val="none" w:sz="0" w:space="0" w:color="auto"/>
        <w:bottom w:val="none" w:sz="0" w:space="0" w:color="auto"/>
        <w:right w:val="none" w:sz="0" w:space="0" w:color="auto"/>
      </w:divBdr>
    </w:div>
    <w:div w:id="1405444579">
      <w:bodyDiv w:val="1"/>
      <w:marLeft w:val="0"/>
      <w:marRight w:val="0"/>
      <w:marTop w:val="0"/>
      <w:marBottom w:val="0"/>
      <w:divBdr>
        <w:top w:val="none" w:sz="0" w:space="0" w:color="auto"/>
        <w:left w:val="none" w:sz="0" w:space="0" w:color="auto"/>
        <w:bottom w:val="none" w:sz="0" w:space="0" w:color="auto"/>
        <w:right w:val="none" w:sz="0" w:space="0" w:color="auto"/>
      </w:divBdr>
    </w:div>
    <w:div w:id="1409309599">
      <w:bodyDiv w:val="1"/>
      <w:marLeft w:val="0"/>
      <w:marRight w:val="0"/>
      <w:marTop w:val="0"/>
      <w:marBottom w:val="0"/>
      <w:divBdr>
        <w:top w:val="none" w:sz="0" w:space="0" w:color="auto"/>
        <w:left w:val="none" w:sz="0" w:space="0" w:color="auto"/>
        <w:bottom w:val="none" w:sz="0" w:space="0" w:color="auto"/>
        <w:right w:val="none" w:sz="0" w:space="0" w:color="auto"/>
      </w:divBdr>
    </w:div>
    <w:div w:id="142772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2982</Words>
  <Characters>17003</Characters>
  <Application>Microsoft Office Word</Application>
  <DocSecurity>0</DocSecurity>
  <Lines>141</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dc:creator>
  <cp:lastModifiedBy>Owner</cp:lastModifiedBy>
  <cp:revision>2</cp:revision>
  <dcterms:created xsi:type="dcterms:W3CDTF">2014-04-08T07:38:00Z</dcterms:created>
  <dcterms:modified xsi:type="dcterms:W3CDTF">2014-04-08T07:38:00Z</dcterms:modified>
</cp:coreProperties>
</file>